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7"/>
        <w:gridCol w:w="3551"/>
        <w:gridCol w:w="236"/>
        <w:gridCol w:w="1175"/>
        <w:gridCol w:w="3701"/>
      </w:tblGrid>
      <w:tr w:rsidR="005678C1" w:rsidRPr="009662EB" w:rsidTr="00EB089A">
        <w:trPr>
          <w:cantSplit/>
          <w:trHeight w:val="227"/>
        </w:trPr>
        <w:tc>
          <w:tcPr>
            <w:tcW w:w="1417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</w:p>
        </w:tc>
        <w:tc>
          <w:tcPr>
            <w:tcW w:w="3551" w:type="dxa"/>
            <w:vMerge w:val="restart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  <w:r w:rsidRPr="009662EB">
              <w:rPr>
                <w:rFonts w:ascii="Arial" w:hAnsi="Arial" w:cs="Arial"/>
                <w:color w:val="016938"/>
                <w:sz w:val="22"/>
                <w:szCs w:val="22"/>
              </w:rPr>
              <w:t>Date:</w:t>
            </w:r>
          </w:p>
        </w:tc>
        <w:tc>
          <w:tcPr>
            <w:tcW w:w="3701" w:type="dxa"/>
          </w:tcPr>
          <w:p w:rsidR="005678C1" w:rsidRPr="009662EB" w:rsidRDefault="0022056E" w:rsidP="0022056E">
            <w:pPr>
              <w:tabs>
                <w:tab w:val="left" w:pos="1440"/>
                <w:tab w:val="left" w:pos="6120"/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62EB">
              <w:rPr>
                <w:rFonts w:ascii="Arial" w:hAnsi="Arial" w:cs="Arial"/>
                <w:sz w:val="22"/>
                <w:szCs w:val="22"/>
              </w:rPr>
              <w:t>15</w:t>
            </w:r>
            <w:r w:rsidR="00125302" w:rsidRPr="009662EB">
              <w:rPr>
                <w:rFonts w:ascii="Arial" w:hAnsi="Arial" w:cs="Arial"/>
                <w:sz w:val="22"/>
                <w:szCs w:val="22"/>
              </w:rPr>
              <w:t xml:space="preserve"> December</w:t>
            </w:r>
            <w:r w:rsidR="00F238A4" w:rsidRPr="009662EB">
              <w:rPr>
                <w:rFonts w:ascii="Arial" w:hAnsi="Arial" w:cs="Arial"/>
                <w:sz w:val="22"/>
                <w:szCs w:val="22"/>
              </w:rPr>
              <w:t xml:space="preserve"> 2017</w:t>
            </w:r>
          </w:p>
        </w:tc>
      </w:tr>
      <w:tr w:rsidR="005678C1" w:rsidRPr="009662EB" w:rsidTr="00EB089A">
        <w:trPr>
          <w:cantSplit/>
          <w:trHeight w:val="227"/>
        </w:trPr>
        <w:tc>
          <w:tcPr>
            <w:tcW w:w="1417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</w:p>
        </w:tc>
        <w:tc>
          <w:tcPr>
            <w:tcW w:w="3551" w:type="dxa"/>
            <w:vMerge/>
            <w:vAlign w:val="center"/>
          </w:tcPr>
          <w:p w:rsidR="005678C1" w:rsidRPr="009662EB" w:rsidRDefault="005678C1" w:rsidP="00886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:rsidR="005678C1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  <w:r w:rsidRPr="009662EB">
              <w:rPr>
                <w:rFonts w:ascii="Arial" w:hAnsi="Arial" w:cs="Arial"/>
                <w:color w:val="016938"/>
                <w:sz w:val="22"/>
                <w:szCs w:val="22"/>
              </w:rPr>
              <w:t>Contact:</w:t>
            </w:r>
          </w:p>
        </w:tc>
        <w:tc>
          <w:tcPr>
            <w:tcW w:w="3701" w:type="dxa"/>
          </w:tcPr>
          <w:p w:rsidR="005678C1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62EB">
              <w:rPr>
                <w:rFonts w:ascii="Arial" w:hAnsi="Arial" w:cs="Arial"/>
                <w:sz w:val="22"/>
                <w:szCs w:val="22"/>
              </w:rPr>
              <w:t>Paul Hammett</w:t>
            </w:r>
          </w:p>
        </w:tc>
      </w:tr>
      <w:tr w:rsidR="005678C1" w:rsidRPr="009662EB" w:rsidTr="00EB089A">
        <w:trPr>
          <w:cantSplit/>
          <w:trHeight w:val="227"/>
        </w:trPr>
        <w:tc>
          <w:tcPr>
            <w:tcW w:w="1417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</w:p>
        </w:tc>
        <w:tc>
          <w:tcPr>
            <w:tcW w:w="3551" w:type="dxa"/>
            <w:vMerge/>
            <w:vAlign w:val="center"/>
          </w:tcPr>
          <w:p w:rsidR="005678C1" w:rsidRPr="009662EB" w:rsidRDefault="005678C1" w:rsidP="00886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:rsidR="005678C1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  <w:r w:rsidRPr="009662EB">
              <w:rPr>
                <w:rFonts w:ascii="Arial" w:hAnsi="Arial" w:cs="Arial"/>
                <w:color w:val="016938"/>
                <w:sz w:val="22"/>
                <w:szCs w:val="22"/>
              </w:rPr>
              <w:t>Email:</w:t>
            </w:r>
          </w:p>
        </w:tc>
        <w:tc>
          <w:tcPr>
            <w:tcW w:w="3701" w:type="dxa"/>
          </w:tcPr>
          <w:p w:rsidR="005678C1" w:rsidRPr="009662EB" w:rsidRDefault="008468A8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62EB">
              <w:rPr>
                <w:rFonts w:ascii="Arial" w:hAnsi="Arial" w:cs="Arial"/>
                <w:sz w:val="22"/>
                <w:szCs w:val="22"/>
              </w:rPr>
              <w:t>p</w:t>
            </w:r>
            <w:r w:rsidR="00EB089A" w:rsidRPr="009662EB">
              <w:rPr>
                <w:rFonts w:ascii="Arial" w:hAnsi="Arial" w:cs="Arial"/>
                <w:sz w:val="22"/>
                <w:szCs w:val="22"/>
              </w:rPr>
              <w:t>aul.hammett@nfu.org.uk</w:t>
            </w:r>
          </w:p>
        </w:tc>
      </w:tr>
      <w:tr w:rsidR="005678C1" w:rsidRPr="009662EB" w:rsidTr="00EB089A">
        <w:trPr>
          <w:cantSplit/>
          <w:trHeight w:val="227"/>
        </w:trPr>
        <w:tc>
          <w:tcPr>
            <w:tcW w:w="1417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</w:p>
        </w:tc>
        <w:tc>
          <w:tcPr>
            <w:tcW w:w="3551" w:type="dxa"/>
            <w:vMerge/>
            <w:vAlign w:val="center"/>
          </w:tcPr>
          <w:p w:rsidR="005678C1" w:rsidRPr="009662EB" w:rsidRDefault="005678C1" w:rsidP="00886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:rsidR="005678C1" w:rsidRPr="009662EB" w:rsidRDefault="005678C1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  <w:r w:rsidRPr="009662EB">
              <w:rPr>
                <w:rFonts w:ascii="Arial" w:hAnsi="Arial" w:cs="Arial"/>
                <w:color w:val="016938"/>
                <w:sz w:val="22"/>
                <w:szCs w:val="22"/>
              </w:rPr>
              <w:t>Tel:</w:t>
            </w:r>
          </w:p>
        </w:tc>
        <w:tc>
          <w:tcPr>
            <w:tcW w:w="3701" w:type="dxa"/>
          </w:tcPr>
          <w:p w:rsidR="005678C1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62EB">
              <w:rPr>
                <w:rFonts w:ascii="Arial" w:hAnsi="Arial" w:cs="Arial"/>
                <w:sz w:val="22"/>
                <w:szCs w:val="22"/>
              </w:rPr>
              <w:t>01638 672106</w:t>
            </w:r>
          </w:p>
        </w:tc>
      </w:tr>
      <w:tr w:rsidR="00EB089A" w:rsidRPr="009662EB" w:rsidTr="00EB089A">
        <w:trPr>
          <w:cantSplit/>
          <w:trHeight w:val="227"/>
        </w:trPr>
        <w:tc>
          <w:tcPr>
            <w:tcW w:w="1417" w:type="dxa"/>
          </w:tcPr>
          <w:p w:rsidR="00EB089A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:rsidR="00EB089A" w:rsidRPr="009662EB" w:rsidRDefault="00EB089A" w:rsidP="00886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EB089A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</w:tcPr>
          <w:p w:rsidR="00EB089A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spacing w:line="360" w:lineRule="auto"/>
              <w:jc w:val="both"/>
              <w:rPr>
                <w:rFonts w:ascii="Arial" w:hAnsi="Arial" w:cs="Arial"/>
                <w:color w:val="016938"/>
                <w:sz w:val="22"/>
                <w:szCs w:val="22"/>
              </w:rPr>
            </w:pPr>
            <w:r w:rsidRPr="009662EB">
              <w:rPr>
                <w:rFonts w:ascii="Arial" w:hAnsi="Arial" w:cs="Arial"/>
                <w:color w:val="016938"/>
                <w:sz w:val="22"/>
                <w:szCs w:val="22"/>
              </w:rPr>
              <w:t>Mobile:</w:t>
            </w:r>
          </w:p>
        </w:tc>
        <w:tc>
          <w:tcPr>
            <w:tcW w:w="3701" w:type="dxa"/>
          </w:tcPr>
          <w:p w:rsidR="00EB089A" w:rsidRPr="009662EB" w:rsidRDefault="00EB089A" w:rsidP="00886479">
            <w:pPr>
              <w:tabs>
                <w:tab w:val="left" w:pos="1440"/>
                <w:tab w:val="left" w:pos="6120"/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62EB">
              <w:rPr>
                <w:rFonts w:ascii="Arial" w:hAnsi="Arial" w:cs="Arial"/>
                <w:sz w:val="22"/>
                <w:szCs w:val="22"/>
              </w:rPr>
              <w:t>07778 337852</w:t>
            </w:r>
          </w:p>
        </w:tc>
      </w:tr>
    </w:tbl>
    <w:p w:rsidR="00370A46" w:rsidRPr="009662EB" w:rsidRDefault="00370A46" w:rsidP="008F21F6">
      <w:pPr>
        <w:jc w:val="center"/>
        <w:rPr>
          <w:rFonts w:ascii="Arial" w:hAnsi="Arial" w:cs="Arial"/>
          <w:color w:val="016938"/>
          <w:sz w:val="22"/>
          <w:szCs w:val="22"/>
        </w:rPr>
      </w:pPr>
    </w:p>
    <w:p w:rsidR="00481C9F" w:rsidRPr="009662EB" w:rsidRDefault="009662EB" w:rsidP="008F21F6">
      <w:pPr>
        <w:jc w:val="center"/>
        <w:rPr>
          <w:rFonts w:ascii="Arial" w:hAnsi="Arial" w:cs="Arial"/>
          <w:color w:val="016938"/>
          <w:sz w:val="28"/>
          <w:szCs w:val="28"/>
        </w:rPr>
      </w:pPr>
      <w:r w:rsidRPr="009662EB">
        <w:rPr>
          <w:rFonts w:ascii="Arial" w:hAnsi="Arial" w:cs="Arial"/>
          <w:color w:val="016938"/>
          <w:sz w:val="28"/>
          <w:szCs w:val="28"/>
        </w:rPr>
        <w:t>Defra w</w:t>
      </w:r>
      <w:r w:rsidR="00FF5838" w:rsidRPr="009662EB">
        <w:rPr>
          <w:rFonts w:ascii="Arial" w:hAnsi="Arial" w:cs="Arial"/>
          <w:color w:val="016938"/>
          <w:sz w:val="28"/>
          <w:szCs w:val="28"/>
        </w:rPr>
        <w:t xml:space="preserve">ater abstraction </w:t>
      </w:r>
      <w:r w:rsidR="00BD586A" w:rsidRPr="009662EB">
        <w:rPr>
          <w:rFonts w:ascii="Arial" w:hAnsi="Arial" w:cs="Arial"/>
          <w:color w:val="016938"/>
          <w:sz w:val="28"/>
          <w:szCs w:val="28"/>
        </w:rPr>
        <w:t>plan</w:t>
      </w:r>
    </w:p>
    <w:p w:rsidR="004B5E2F" w:rsidRPr="009662EB" w:rsidRDefault="004B5E2F" w:rsidP="00760AB8">
      <w:pPr>
        <w:jc w:val="both"/>
        <w:rPr>
          <w:rFonts w:ascii="Arial" w:hAnsi="Arial" w:cs="Arial"/>
          <w:b/>
          <w:sz w:val="22"/>
          <w:szCs w:val="22"/>
        </w:rPr>
      </w:pPr>
    </w:p>
    <w:p w:rsidR="009662EB" w:rsidRPr="009662EB" w:rsidRDefault="009662EB" w:rsidP="00760AB8">
      <w:pPr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Defra has published a </w:t>
      </w:r>
      <w:r w:rsidR="0054535B">
        <w:rPr>
          <w:rFonts w:ascii="Arial" w:hAnsi="Arial" w:cs="Arial"/>
          <w:sz w:val="22"/>
          <w:szCs w:val="22"/>
          <w:lang w:val="en"/>
        </w:rPr>
        <w:t>water abstraction plan</w:t>
      </w:r>
      <w:r>
        <w:rPr>
          <w:rFonts w:ascii="Arial" w:hAnsi="Arial" w:cs="Arial"/>
          <w:sz w:val="22"/>
          <w:szCs w:val="22"/>
          <w:lang w:val="en"/>
        </w:rPr>
        <w:t xml:space="preserve"> (15 December) that </w:t>
      </w:r>
      <w:r w:rsidRPr="009662EB">
        <w:rPr>
          <w:rFonts w:ascii="Arial" w:hAnsi="Arial" w:cs="Arial"/>
          <w:sz w:val="22"/>
          <w:szCs w:val="22"/>
          <w:lang w:val="en"/>
        </w:rPr>
        <w:t xml:space="preserve">sets out how </w:t>
      </w:r>
      <w:r w:rsidR="00736F9B">
        <w:rPr>
          <w:rFonts w:ascii="Arial" w:hAnsi="Arial" w:cs="Arial"/>
          <w:sz w:val="22"/>
          <w:szCs w:val="22"/>
          <w:lang w:val="en"/>
        </w:rPr>
        <w:t>it</w:t>
      </w:r>
      <w:r w:rsidRPr="009662EB">
        <w:rPr>
          <w:rFonts w:ascii="Arial" w:hAnsi="Arial" w:cs="Arial"/>
          <w:sz w:val="22"/>
          <w:szCs w:val="22"/>
          <w:lang w:val="en"/>
        </w:rPr>
        <w:t xml:space="preserve"> will reform abstraction management</w:t>
      </w:r>
      <w:r w:rsidR="00986001">
        <w:rPr>
          <w:rFonts w:ascii="Arial" w:hAnsi="Arial" w:cs="Arial"/>
          <w:sz w:val="22"/>
          <w:szCs w:val="22"/>
          <w:lang w:val="en"/>
        </w:rPr>
        <w:t>.</w:t>
      </w:r>
    </w:p>
    <w:p w:rsidR="009662EB" w:rsidRPr="009662EB" w:rsidRDefault="009662EB" w:rsidP="00760AB8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986001" w:rsidRDefault="00FF5838" w:rsidP="00760AB8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Since the Water White Paper was published in 2011, </w:t>
      </w:r>
      <w:r w:rsidR="00760AB8" w:rsidRPr="009662EB">
        <w:rPr>
          <w:rFonts w:ascii="Arial" w:hAnsi="Arial" w:cs="Arial"/>
          <w:sz w:val="22"/>
          <w:szCs w:val="22"/>
        </w:rPr>
        <w:t xml:space="preserve">Defra has been working towards </w:t>
      </w:r>
      <w:r w:rsidRPr="009662EB">
        <w:rPr>
          <w:rFonts w:ascii="Arial" w:hAnsi="Arial" w:cs="Arial"/>
          <w:sz w:val="22"/>
          <w:szCs w:val="22"/>
        </w:rPr>
        <w:t xml:space="preserve">the introduction </w:t>
      </w:r>
      <w:r w:rsidR="00760AB8" w:rsidRPr="009662EB">
        <w:rPr>
          <w:rFonts w:ascii="Arial" w:hAnsi="Arial" w:cs="Arial"/>
          <w:sz w:val="22"/>
          <w:szCs w:val="22"/>
        </w:rPr>
        <w:t xml:space="preserve">the primary legislation </w:t>
      </w:r>
      <w:r w:rsidRPr="009662EB">
        <w:rPr>
          <w:rFonts w:ascii="Arial" w:hAnsi="Arial" w:cs="Arial"/>
          <w:sz w:val="22"/>
          <w:szCs w:val="22"/>
        </w:rPr>
        <w:t>needed</w:t>
      </w:r>
      <w:r w:rsidR="00760AB8" w:rsidRPr="009662EB">
        <w:rPr>
          <w:rFonts w:ascii="Arial" w:hAnsi="Arial" w:cs="Arial"/>
          <w:sz w:val="22"/>
          <w:szCs w:val="22"/>
        </w:rPr>
        <w:t xml:space="preserve"> to implement </w:t>
      </w:r>
      <w:r w:rsidRPr="009662EB">
        <w:rPr>
          <w:rFonts w:ascii="Arial" w:hAnsi="Arial" w:cs="Arial"/>
          <w:sz w:val="22"/>
          <w:szCs w:val="22"/>
        </w:rPr>
        <w:t xml:space="preserve">wide-ranging </w:t>
      </w:r>
      <w:r w:rsidR="00760AB8" w:rsidRPr="009662EB">
        <w:rPr>
          <w:rFonts w:ascii="Arial" w:hAnsi="Arial" w:cs="Arial"/>
          <w:sz w:val="22"/>
          <w:szCs w:val="22"/>
        </w:rPr>
        <w:t xml:space="preserve">abstraction reform. However, it is now clear that major regulatory reform </w:t>
      </w:r>
      <w:r w:rsidRPr="009662EB">
        <w:rPr>
          <w:rFonts w:ascii="Arial" w:hAnsi="Arial" w:cs="Arial"/>
          <w:sz w:val="22"/>
          <w:szCs w:val="22"/>
        </w:rPr>
        <w:t xml:space="preserve">of the scale originally </w:t>
      </w:r>
      <w:r w:rsidR="00760AB8" w:rsidRPr="009662EB">
        <w:rPr>
          <w:rFonts w:ascii="Arial" w:hAnsi="Arial" w:cs="Arial"/>
          <w:sz w:val="22"/>
          <w:szCs w:val="22"/>
        </w:rPr>
        <w:t xml:space="preserve">conceived will not be delivered in the short term. </w:t>
      </w:r>
    </w:p>
    <w:p w:rsidR="00986001" w:rsidRDefault="00986001" w:rsidP="00760AB8">
      <w:pPr>
        <w:jc w:val="both"/>
        <w:rPr>
          <w:rFonts w:ascii="Arial" w:hAnsi="Arial" w:cs="Arial"/>
          <w:sz w:val="22"/>
          <w:szCs w:val="22"/>
        </w:rPr>
      </w:pPr>
    </w:p>
    <w:p w:rsidR="00760AB8" w:rsidRPr="009662EB" w:rsidRDefault="00A653E4" w:rsidP="00760A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86001">
        <w:rPr>
          <w:rFonts w:ascii="Arial" w:hAnsi="Arial" w:cs="Arial"/>
          <w:sz w:val="22"/>
          <w:szCs w:val="22"/>
        </w:rPr>
        <w:t xml:space="preserve">ublication of the water abstraction plan is designed to demonstrate the ongoing commitment of </w:t>
      </w:r>
      <w:r w:rsidR="00760AB8" w:rsidRPr="009662EB">
        <w:rPr>
          <w:rFonts w:ascii="Arial" w:hAnsi="Arial" w:cs="Arial"/>
          <w:sz w:val="22"/>
          <w:szCs w:val="22"/>
        </w:rPr>
        <w:t xml:space="preserve">Defra and the Environment Agency </w:t>
      </w:r>
      <w:r>
        <w:rPr>
          <w:rFonts w:ascii="Arial" w:hAnsi="Arial" w:cs="Arial"/>
          <w:sz w:val="22"/>
          <w:szCs w:val="22"/>
        </w:rPr>
        <w:t xml:space="preserve">to </w:t>
      </w:r>
      <w:r w:rsidR="00760AB8" w:rsidRPr="009662EB">
        <w:rPr>
          <w:rFonts w:ascii="Arial" w:hAnsi="Arial" w:cs="Arial"/>
          <w:sz w:val="22"/>
          <w:szCs w:val="22"/>
        </w:rPr>
        <w:t xml:space="preserve">delivering as much </w:t>
      </w:r>
      <w:r w:rsidR="00986001">
        <w:rPr>
          <w:rFonts w:ascii="Arial" w:hAnsi="Arial" w:cs="Arial"/>
          <w:sz w:val="22"/>
          <w:szCs w:val="22"/>
        </w:rPr>
        <w:t xml:space="preserve">progress </w:t>
      </w:r>
      <w:r w:rsidR="00760AB8" w:rsidRPr="009662EB">
        <w:rPr>
          <w:rFonts w:ascii="Arial" w:hAnsi="Arial" w:cs="Arial"/>
          <w:sz w:val="22"/>
          <w:szCs w:val="22"/>
        </w:rPr>
        <w:t xml:space="preserve">as possible </w:t>
      </w:r>
      <w:r w:rsidR="00FF5838" w:rsidRPr="009662EB">
        <w:rPr>
          <w:rFonts w:ascii="Arial" w:hAnsi="Arial" w:cs="Arial"/>
          <w:sz w:val="22"/>
          <w:szCs w:val="22"/>
        </w:rPr>
        <w:t>in the absence of a Water Bill.</w:t>
      </w:r>
    </w:p>
    <w:p w:rsidR="00EF280B" w:rsidRDefault="00EF280B" w:rsidP="00886479">
      <w:pPr>
        <w:jc w:val="both"/>
        <w:rPr>
          <w:rFonts w:ascii="Arial" w:hAnsi="Arial" w:cs="Arial"/>
          <w:sz w:val="22"/>
          <w:szCs w:val="22"/>
        </w:rPr>
      </w:pPr>
    </w:p>
    <w:p w:rsidR="00907A4D" w:rsidRPr="009662EB" w:rsidRDefault="004018B8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Defra believes that reform</w:t>
      </w:r>
      <w:r w:rsidR="00907A4D" w:rsidRPr="009662EB">
        <w:rPr>
          <w:rFonts w:ascii="Arial" w:hAnsi="Arial" w:cs="Arial"/>
          <w:sz w:val="22"/>
          <w:szCs w:val="22"/>
        </w:rPr>
        <w:t xml:space="preserve"> is needed because:</w:t>
      </w:r>
    </w:p>
    <w:p w:rsidR="00907A4D" w:rsidRPr="009662EB" w:rsidRDefault="00907A4D" w:rsidP="008864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Action needs to be taken on those old licences that damage the environment</w:t>
      </w:r>
    </w:p>
    <w:p w:rsidR="00907A4D" w:rsidRPr="009662EB" w:rsidRDefault="00907A4D" w:rsidP="008864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The current system </w:t>
      </w:r>
      <w:r w:rsidR="004018B8" w:rsidRPr="009662EB">
        <w:rPr>
          <w:rFonts w:ascii="Arial" w:hAnsi="Arial" w:cs="Arial"/>
          <w:sz w:val="22"/>
          <w:szCs w:val="22"/>
        </w:rPr>
        <w:t>will not</w:t>
      </w:r>
      <w:r w:rsidRPr="009662EB">
        <w:rPr>
          <w:rFonts w:ascii="Arial" w:hAnsi="Arial" w:cs="Arial"/>
          <w:sz w:val="22"/>
          <w:szCs w:val="22"/>
        </w:rPr>
        <w:t xml:space="preserve"> cope with future population growth and climate change</w:t>
      </w:r>
    </w:p>
    <w:p w:rsidR="00907A4D" w:rsidRPr="009662EB" w:rsidRDefault="00907A4D" w:rsidP="008864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Current licences are outdated and paper based</w:t>
      </w:r>
    </w:p>
    <w:p w:rsidR="00907A4D" w:rsidRPr="009662EB" w:rsidRDefault="00907A4D" w:rsidP="00886479">
      <w:pPr>
        <w:jc w:val="both"/>
        <w:rPr>
          <w:rFonts w:ascii="Arial" w:hAnsi="Arial" w:cs="Arial"/>
          <w:sz w:val="22"/>
          <w:szCs w:val="22"/>
        </w:rPr>
      </w:pPr>
    </w:p>
    <w:p w:rsidR="00907A4D" w:rsidRPr="009662EB" w:rsidRDefault="00907A4D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The ambition is that the </w:t>
      </w:r>
      <w:r w:rsidR="004B5E2F" w:rsidRPr="009662EB">
        <w:rPr>
          <w:rFonts w:ascii="Arial" w:hAnsi="Arial" w:cs="Arial"/>
          <w:sz w:val="22"/>
          <w:szCs w:val="22"/>
        </w:rPr>
        <w:t xml:space="preserve">abstraction </w:t>
      </w:r>
      <w:r w:rsidRPr="009662EB">
        <w:rPr>
          <w:rFonts w:ascii="Arial" w:hAnsi="Arial" w:cs="Arial"/>
          <w:sz w:val="22"/>
          <w:szCs w:val="22"/>
        </w:rPr>
        <w:t>plan should:</w:t>
      </w:r>
    </w:p>
    <w:p w:rsidR="00907A4D" w:rsidRPr="009662EB" w:rsidRDefault="00F238A4" w:rsidP="0088647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Deliver </w:t>
      </w:r>
      <w:r w:rsidR="00907A4D" w:rsidRPr="009662EB">
        <w:rPr>
          <w:rFonts w:ascii="Arial" w:hAnsi="Arial" w:cs="Arial"/>
          <w:sz w:val="22"/>
          <w:szCs w:val="22"/>
        </w:rPr>
        <w:t>sustainable catchments</w:t>
      </w:r>
    </w:p>
    <w:p w:rsidR="00907A4D" w:rsidRPr="009662EB" w:rsidRDefault="00907A4D" w:rsidP="0088647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Identify and focus on elements of the </w:t>
      </w:r>
      <w:r w:rsidR="004B5E2F" w:rsidRPr="009662EB">
        <w:rPr>
          <w:rFonts w:ascii="Arial" w:hAnsi="Arial" w:cs="Arial"/>
          <w:sz w:val="22"/>
          <w:szCs w:val="22"/>
        </w:rPr>
        <w:t>reform</w:t>
      </w:r>
      <w:r w:rsidRPr="009662EB">
        <w:rPr>
          <w:rFonts w:ascii="Arial" w:hAnsi="Arial" w:cs="Arial"/>
          <w:sz w:val="22"/>
          <w:szCs w:val="22"/>
        </w:rPr>
        <w:t xml:space="preserve"> proposals that can be used to improve users’ access to water</w:t>
      </w:r>
    </w:p>
    <w:p w:rsidR="00907A4D" w:rsidRPr="009662EB" w:rsidRDefault="00745717" w:rsidP="0088647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Improve</w:t>
      </w:r>
      <w:r w:rsidR="00F238A4" w:rsidRPr="009662EB">
        <w:rPr>
          <w:rFonts w:ascii="Arial" w:hAnsi="Arial" w:cs="Arial"/>
          <w:sz w:val="22"/>
          <w:szCs w:val="22"/>
        </w:rPr>
        <w:t xml:space="preserve"> </w:t>
      </w:r>
      <w:r w:rsidR="008D156F" w:rsidRPr="009662EB">
        <w:rPr>
          <w:rFonts w:ascii="Arial" w:hAnsi="Arial" w:cs="Arial"/>
          <w:sz w:val="22"/>
          <w:szCs w:val="22"/>
        </w:rPr>
        <w:t xml:space="preserve">the </w:t>
      </w:r>
      <w:r w:rsidR="0073673E" w:rsidRPr="009662EB">
        <w:rPr>
          <w:rFonts w:ascii="Arial" w:hAnsi="Arial" w:cs="Arial"/>
          <w:sz w:val="22"/>
          <w:szCs w:val="22"/>
        </w:rPr>
        <w:t>E</w:t>
      </w:r>
      <w:r w:rsidR="004B5E2F" w:rsidRPr="009662EB">
        <w:rPr>
          <w:rFonts w:ascii="Arial" w:hAnsi="Arial" w:cs="Arial"/>
          <w:sz w:val="22"/>
          <w:szCs w:val="22"/>
        </w:rPr>
        <w:t>nvironment Agency’s</w:t>
      </w:r>
      <w:r w:rsidR="008D156F" w:rsidRPr="009662EB">
        <w:rPr>
          <w:rFonts w:ascii="Arial" w:hAnsi="Arial" w:cs="Arial"/>
          <w:sz w:val="22"/>
          <w:szCs w:val="22"/>
        </w:rPr>
        <w:t xml:space="preserve"> service to licence holders</w:t>
      </w:r>
    </w:p>
    <w:p w:rsidR="008E0244" w:rsidRPr="009662EB" w:rsidRDefault="008E0244" w:rsidP="008E0244">
      <w:pPr>
        <w:jc w:val="both"/>
        <w:rPr>
          <w:rFonts w:ascii="Arial" w:hAnsi="Arial" w:cs="Arial"/>
          <w:sz w:val="22"/>
          <w:szCs w:val="22"/>
        </w:rPr>
      </w:pPr>
    </w:p>
    <w:p w:rsidR="0018056D" w:rsidRDefault="00E00698" w:rsidP="0088647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Addressing unsustainable abstraction</w:t>
      </w:r>
    </w:p>
    <w:p w:rsidR="00E00698" w:rsidRDefault="00E00698" w:rsidP="00886479">
      <w:pPr>
        <w:jc w:val="both"/>
        <w:rPr>
          <w:rFonts w:ascii="Arial" w:hAnsi="Arial" w:cs="Arial"/>
          <w:b/>
          <w:sz w:val="22"/>
          <w:szCs w:val="22"/>
        </w:rPr>
      </w:pPr>
    </w:p>
    <w:p w:rsidR="00246259" w:rsidRDefault="00F706D7" w:rsidP="00886479">
      <w:pPr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The plan sates that government </w:t>
      </w:r>
      <w:r w:rsidRPr="00F706D7">
        <w:rPr>
          <w:rFonts w:ascii="Arial" w:hAnsi="Arial" w:cs="Arial"/>
          <w:sz w:val="22"/>
          <w:szCs w:val="22"/>
          <w:lang w:val="en"/>
        </w:rPr>
        <w:t>want</w:t>
      </w:r>
      <w:r>
        <w:rPr>
          <w:rFonts w:ascii="Arial" w:hAnsi="Arial" w:cs="Arial"/>
          <w:sz w:val="22"/>
          <w:szCs w:val="22"/>
          <w:lang w:val="en"/>
        </w:rPr>
        <w:t>s</w:t>
      </w:r>
      <w:r w:rsidRPr="00F706D7">
        <w:rPr>
          <w:rFonts w:ascii="Arial" w:hAnsi="Arial" w:cs="Arial"/>
          <w:sz w:val="22"/>
          <w:szCs w:val="22"/>
          <w:lang w:val="en"/>
        </w:rPr>
        <w:t xml:space="preserve"> to end damaging abstraction of water from rivers and groundwater </w:t>
      </w:r>
      <w:r w:rsidRPr="00F706D7">
        <w:rPr>
          <w:rFonts w:ascii="Arial" w:hAnsi="Arial" w:cs="Arial"/>
          <w:i/>
          <w:sz w:val="22"/>
          <w:szCs w:val="22"/>
          <w:lang w:val="en"/>
        </w:rPr>
        <w:t>wherever it is cost-effective to do so</w:t>
      </w:r>
      <w:r w:rsidRPr="00F706D7">
        <w:rPr>
          <w:rFonts w:ascii="Arial" w:hAnsi="Arial" w:cs="Arial"/>
          <w:sz w:val="22"/>
          <w:szCs w:val="22"/>
          <w:lang w:val="en"/>
        </w:rPr>
        <w:t xml:space="preserve">. </w:t>
      </w:r>
    </w:p>
    <w:p w:rsidR="00246259" w:rsidRDefault="00246259" w:rsidP="00886479">
      <w:pPr>
        <w:jc w:val="both"/>
        <w:rPr>
          <w:rFonts w:ascii="Arial" w:hAnsi="Arial" w:cs="Arial"/>
          <w:sz w:val="22"/>
          <w:szCs w:val="22"/>
          <w:lang w:val="en"/>
        </w:rPr>
      </w:pPr>
    </w:p>
    <w:p w:rsidR="00E00698" w:rsidRPr="00F706D7" w:rsidRDefault="00F706D7" w:rsidP="00886479">
      <w:pPr>
        <w:jc w:val="both"/>
        <w:rPr>
          <w:rFonts w:ascii="Arial" w:hAnsi="Arial" w:cs="Arial"/>
          <w:b/>
          <w:sz w:val="22"/>
          <w:szCs w:val="22"/>
        </w:rPr>
      </w:pPr>
      <w:r w:rsidRPr="00F706D7">
        <w:rPr>
          <w:rFonts w:ascii="Arial" w:hAnsi="Arial" w:cs="Arial"/>
          <w:sz w:val="22"/>
          <w:szCs w:val="22"/>
          <w:lang w:val="en"/>
        </w:rPr>
        <w:t>Latest data show that 82% of surface water bodies and 72% of groundwater bodies have enough water to protect the environment</w:t>
      </w:r>
      <w:r w:rsidR="00246259">
        <w:rPr>
          <w:rFonts w:ascii="Arial" w:hAnsi="Arial" w:cs="Arial"/>
          <w:sz w:val="22"/>
          <w:szCs w:val="22"/>
          <w:lang w:val="en"/>
        </w:rPr>
        <w:t>.</w:t>
      </w:r>
      <w:r>
        <w:rPr>
          <w:rFonts w:ascii="Arial" w:hAnsi="Arial" w:cs="Arial"/>
          <w:sz w:val="22"/>
          <w:szCs w:val="22"/>
          <w:lang w:val="en"/>
        </w:rPr>
        <w:t xml:space="preserve"> Nevertheless, the Environment Agency is concerned about the potential impact of some </w:t>
      </w:r>
      <w:proofErr w:type="spellStart"/>
      <w:r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>
        <w:rPr>
          <w:rFonts w:ascii="Arial" w:hAnsi="Arial" w:cs="Arial"/>
          <w:sz w:val="22"/>
          <w:szCs w:val="22"/>
          <w:lang w:val="en"/>
        </w:rPr>
        <w:t>, primarily held by the public supply sector, and the risk of growth in water use which could harm the environment.</w:t>
      </w:r>
    </w:p>
    <w:p w:rsidR="00B950F4" w:rsidRPr="00B950F4" w:rsidRDefault="00B950F4" w:rsidP="00B950F4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B950F4">
        <w:rPr>
          <w:rFonts w:ascii="Arial" w:hAnsi="Arial" w:cs="Arial"/>
          <w:sz w:val="22"/>
          <w:szCs w:val="22"/>
          <w:lang w:val="en"/>
        </w:rPr>
        <w:t xml:space="preserve">In order to meet these </w:t>
      </w:r>
      <w:r w:rsidR="00F706D7">
        <w:rPr>
          <w:rFonts w:ascii="Arial" w:hAnsi="Arial" w:cs="Arial"/>
          <w:sz w:val="22"/>
          <w:szCs w:val="22"/>
          <w:lang w:val="en"/>
        </w:rPr>
        <w:t>challenges</w:t>
      </w:r>
      <w:r w:rsidRPr="00B950F4">
        <w:rPr>
          <w:rFonts w:ascii="Arial" w:hAnsi="Arial" w:cs="Arial"/>
          <w:sz w:val="22"/>
          <w:szCs w:val="22"/>
          <w:lang w:val="en"/>
        </w:rPr>
        <w:t xml:space="preserve"> the Environment Agency will:</w:t>
      </w:r>
    </w:p>
    <w:p w:rsidR="00F706D7" w:rsidRPr="00F706D7" w:rsidRDefault="00F706D7" w:rsidP="00F706D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U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se the Water Industry National Environment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Programme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(WINEP), due in March 2018, to make sure that water companies take a leading role in addressing unsustainable abstraction</w:t>
      </w:r>
    </w:p>
    <w:p w:rsidR="00B950F4" w:rsidRPr="00B950F4" w:rsidRDefault="00F706D7" w:rsidP="00B950F4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R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eview more than half of time limited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by 2021 (2,300 in total), adjusting them as necessary to make sure they do not allow environmental damage now or in the future</w:t>
      </w:r>
    </w:p>
    <w:p w:rsidR="00B950F4" w:rsidRPr="00B950F4" w:rsidRDefault="00F706D7" w:rsidP="00B950F4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A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djust all permanent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shown to be </w:t>
      </w:r>
      <w:r>
        <w:rPr>
          <w:rFonts w:ascii="Arial" w:hAnsi="Arial" w:cs="Arial"/>
          <w:sz w:val="22"/>
          <w:szCs w:val="22"/>
          <w:lang w:val="en"/>
        </w:rPr>
        <w:t>‘</w:t>
      </w:r>
      <w:r w:rsidR="00B950F4" w:rsidRPr="00B950F4">
        <w:rPr>
          <w:rFonts w:ascii="Arial" w:hAnsi="Arial" w:cs="Arial"/>
          <w:sz w:val="22"/>
          <w:szCs w:val="22"/>
          <w:lang w:val="en"/>
        </w:rPr>
        <w:t>seriously damaging</w:t>
      </w:r>
      <w:r>
        <w:rPr>
          <w:rFonts w:ascii="Arial" w:hAnsi="Arial" w:cs="Arial"/>
          <w:sz w:val="22"/>
          <w:szCs w:val="22"/>
          <w:lang w:val="en"/>
        </w:rPr>
        <w:t>’ the environment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. This includes completing the Restoring Sustainable Abstraction </w:t>
      </w:r>
      <w:r>
        <w:rPr>
          <w:rFonts w:ascii="Arial" w:hAnsi="Arial" w:cs="Arial"/>
          <w:sz w:val="22"/>
          <w:szCs w:val="22"/>
          <w:lang w:val="en"/>
        </w:rPr>
        <w:t xml:space="preserve">(RSA)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programme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 xml:space="preserve">, </w:t>
      </w:r>
      <w:r w:rsidR="00246259">
        <w:rPr>
          <w:rFonts w:ascii="Arial" w:hAnsi="Arial" w:cs="Arial"/>
          <w:sz w:val="22"/>
          <w:szCs w:val="22"/>
          <w:lang w:val="en"/>
        </w:rPr>
        <w:t xml:space="preserve">which contains 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a list of 150 potentially damaging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>, by March 2020</w:t>
      </w:r>
    </w:p>
    <w:p w:rsidR="00B950F4" w:rsidRPr="00B950F4" w:rsidRDefault="00F706D7" w:rsidP="00B950F4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R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evoke an estimated 600 unused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that are no longer needed, and work with abstractors to reduce under-used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 xml:space="preserve">. This will prevent increased abstraction from these </w:t>
      </w:r>
      <w:proofErr w:type="spellStart"/>
      <w:r w:rsidR="00B950F4" w:rsidRPr="00B950F4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creating new environmental pressures</w:t>
      </w:r>
    </w:p>
    <w:p w:rsidR="00B950F4" w:rsidRPr="00B950F4" w:rsidRDefault="00F706D7" w:rsidP="00B950F4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lastRenderedPageBreak/>
        <w:t>R</w:t>
      </w:r>
      <w:r w:rsidR="00B950F4" w:rsidRPr="00B950F4">
        <w:rPr>
          <w:rFonts w:ascii="Arial" w:hAnsi="Arial" w:cs="Arial"/>
          <w:sz w:val="22"/>
          <w:szCs w:val="22"/>
          <w:lang w:val="en"/>
        </w:rPr>
        <w:t>egulate all significant abstractions that have been exempt historically (approximately 5,000)</w:t>
      </w:r>
      <w:r>
        <w:rPr>
          <w:rFonts w:ascii="Arial" w:hAnsi="Arial" w:cs="Arial"/>
          <w:sz w:val="22"/>
          <w:szCs w:val="22"/>
          <w:lang w:val="en"/>
        </w:rPr>
        <w:t>, including unlicensed trickle and drip irrigation,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to make sure that they also play a part in protecting the water environment</w:t>
      </w:r>
    </w:p>
    <w:p w:rsidR="00B950F4" w:rsidRPr="00B950F4" w:rsidRDefault="00F706D7" w:rsidP="00B950F4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Embark on a </w:t>
      </w:r>
      <w:proofErr w:type="spellStart"/>
      <w:r>
        <w:rPr>
          <w:rFonts w:ascii="Arial" w:hAnsi="Arial" w:cs="Arial"/>
          <w:sz w:val="22"/>
          <w:szCs w:val="22"/>
          <w:lang w:val="en"/>
        </w:rPr>
        <w:t>programme</w:t>
      </w:r>
      <w:proofErr w:type="spellEnd"/>
      <w:r>
        <w:rPr>
          <w:rFonts w:ascii="Arial" w:hAnsi="Arial" w:cs="Arial"/>
          <w:sz w:val="22"/>
          <w:szCs w:val="22"/>
          <w:lang w:val="en"/>
        </w:rPr>
        <w:t xml:space="preserve"> of u</w:t>
      </w:r>
      <w:r w:rsidR="00B950F4" w:rsidRPr="00B950F4">
        <w:rPr>
          <w:rFonts w:ascii="Arial" w:hAnsi="Arial" w:cs="Arial"/>
          <w:sz w:val="22"/>
          <w:szCs w:val="22"/>
          <w:lang w:val="en"/>
        </w:rPr>
        <w:t>pdat</w:t>
      </w:r>
      <w:r>
        <w:rPr>
          <w:rFonts w:ascii="Arial" w:hAnsi="Arial" w:cs="Arial"/>
          <w:sz w:val="22"/>
          <w:szCs w:val="22"/>
          <w:lang w:val="en"/>
        </w:rPr>
        <w:t>ing catchment-based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abstraction licensing strategies</w:t>
      </w:r>
      <w:r>
        <w:rPr>
          <w:rFonts w:ascii="Arial" w:hAnsi="Arial" w:cs="Arial"/>
          <w:sz w:val="22"/>
          <w:szCs w:val="22"/>
          <w:lang w:val="en"/>
        </w:rPr>
        <w:t>, with 10 strategies reviewed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by 2021 and all remaining strategies </w:t>
      </w:r>
      <w:r>
        <w:rPr>
          <w:rFonts w:ascii="Arial" w:hAnsi="Arial" w:cs="Arial"/>
          <w:sz w:val="22"/>
          <w:szCs w:val="22"/>
          <w:lang w:val="en"/>
        </w:rPr>
        <w:t xml:space="preserve">reviewed </w:t>
      </w:r>
      <w:r w:rsidR="00B950F4" w:rsidRPr="00B950F4">
        <w:rPr>
          <w:rFonts w:ascii="Arial" w:hAnsi="Arial" w:cs="Arial"/>
          <w:sz w:val="22"/>
          <w:szCs w:val="22"/>
          <w:lang w:val="en"/>
        </w:rPr>
        <w:t>by 2027</w:t>
      </w:r>
      <w:r>
        <w:rPr>
          <w:rFonts w:ascii="Arial" w:hAnsi="Arial" w:cs="Arial"/>
          <w:sz w:val="22"/>
          <w:szCs w:val="22"/>
          <w:lang w:val="en"/>
        </w:rPr>
        <w:t>.</w:t>
      </w:r>
    </w:p>
    <w:p w:rsidR="008C171A" w:rsidRDefault="008C171A" w:rsidP="00B950F4">
      <w:pPr>
        <w:pStyle w:val="NormalWeb"/>
        <w:rPr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  <w:lang w:val="en"/>
        </w:rPr>
        <w:t>Catchment focus</w:t>
      </w:r>
    </w:p>
    <w:p w:rsidR="00B950F4" w:rsidRPr="00B950F4" w:rsidRDefault="002E2605" w:rsidP="00B950F4">
      <w:pPr>
        <w:pStyle w:val="NormalWeb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Defra</w:t>
      </w:r>
      <w:r w:rsidR="008C171A">
        <w:rPr>
          <w:rFonts w:ascii="Arial" w:hAnsi="Arial" w:cs="Arial"/>
          <w:sz w:val="22"/>
          <w:szCs w:val="22"/>
          <w:lang w:val="en"/>
        </w:rPr>
        <w:t xml:space="preserve"> </w:t>
      </w:r>
      <w:r w:rsidR="00B950F4" w:rsidRPr="00B950F4">
        <w:rPr>
          <w:rFonts w:ascii="Arial" w:hAnsi="Arial" w:cs="Arial"/>
          <w:sz w:val="22"/>
          <w:szCs w:val="22"/>
          <w:lang w:val="en"/>
        </w:rPr>
        <w:t>want</w:t>
      </w:r>
      <w:r w:rsidR="008C171A">
        <w:rPr>
          <w:rFonts w:ascii="Arial" w:hAnsi="Arial" w:cs="Arial"/>
          <w:sz w:val="22"/>
          <w:szCs w:val="22"/>
          <w:lang w:val="en"/>
        </w:rPr>
        <w:t>s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 </w:t>
      </w:r>
      <w:r w:rsidR="008C171A">
        <w:rPr>
          <w:rFonts w:ascii="Arial" w:hAnsi="Arial" w:cs="Arial"/>
          <w:sz w:val="22"/>
          <w:szCs w:val="22"/>
          <w:lang w:val="en"/>
        </w:rPr>
        <w:t>the Environment Agency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to work with abstractors to develop </w:t>
      </w:r>
      <w:r w:rsidR="008C171A">
        <w:rPr>
          <w:rFonts w:ascii="Arial" w:hAnsi="Arial" w:cs="Arial"/>
          <w:sz w:val="22"/>
          <w:szCs w:val="22"/>
          <w:lang w:val="en"/>
        </w:rPr>
        <w:t xml:space="preserve">local </w:t>
      </w:r>
      <w:r w:rsidR="00B950F4" w:rsidRPr="00B950F4">
        <w:rPr>
          <w:rFonts w:ascii="Arial" w:hAnsi="Arial" w:cs="Arial"/>
          <w:sz w:val="22"/>
          <w:szCs w:val="22"/>
          <w:lang w:val="en"/>
        </w:rPr>
        <w:t xml:space="preserve">solutions that further </w:t>
      </w:r>
      <w:r>
        <w:rPr>
          <w:rFonts w:ascii="Arial" w:hAnsi="Arial" w:cs="Arial"/>
          <w:sz w:val="22"/>
          <w:szCs w:val="22"/>
          <w:lang w:val="en"/>
        </w:rPr>
        <w:t xml:space="preserve">protect </w:t>
      </w:r>
      <w:r w:rsidR="00B950F4" w:rsidRPr="00B950F4">
        <w:rPr>
          <w:rFonts w:ascii="Arial" w:hAnsi="Arial" w:cs="Arial"/>
          <w:sz w:val="22"/>
          <w:szCs w:val="22"/>
          <w:lang w:val="en"/>
        </w:rPr>
        <w:t>the environment and improve access to water.</w:t>
      </w:r>
    </w:p>
    <w:p w:rsidR="00E56DD6" w:rsidRPr="009662EB" w:rsidRDefault="00E56DD6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The </w:t>
      </w:r>
      <w:r w:rsidR="002E2605">
        <w:rPr>
          <w:rFonts w:ascii="Arial" w:hAnsi="Arial" w:cs="Arial"/>
          <w:sz w:val="22"/>
          <w:szCs w:val="22"/>
        </w:rPr>
        <w:t xml:space="preserve">plan proposes </w:t>
      </w:r>
      <w:r w:rsidRPr="009662EB">
        <w:rPr>
          <w:rFonts w:ascii="Arial" w:hAnsi="Arial" w:cs="Arial"/>
          <w:sz w:val="22"/>
          <w:szCs w:val="22"/>
        </w:rPr>
        <w:t xml:space="preserve">greater focus </w:t>
      </w:r>
      <w:r w:rsidR="0073673E" w:rsidRPr="009662EB">
        <w:rPr>
          <w:rFonts w:ascii="Arial" w:hAnsi="Arial" w:cs="Arial"/>
          <w:sz w:val="22"/>
          <w:szCs w:val="22"/>
        </w:rPr>
        <w:t xml:space="preserve">on </w:t>
      </w:r>
      <w:r w:rsidR="004B5E2F" w:rsidRPr="009662EB">
        <w:rPr>
          <w:rFonts w:ascii="Arial" w:hAnsi="Arial" w:cs="Arial"/>
          <w:sz w:val="22"/>
          <w:szCs w:val="22"/>
        </w:rPr>
        <w:t xml:space="preserve">activity </w:t>
      </w:r>
      <w:r w:rsidRPr="009662EB">
        <w:rPr>
          <w:rFonts w:ascii="Arial" w:hAnsi="Arial" w:cs="Arial"/>
          <w:sz w:val="22"/>
          <w:szCs w:val="22"/>
        </w:rPr>
        <w:t xml:space="preserve">at the catchment scale </w:t>
      </w:r>
      <w:r w:rsidR="004B5E2F" w:rsidRPr="009662EB">
        <w:rPr>
          <w:rFonts w:ascii="Arial" w:hAnsi="Arial" w:cs="Arial"/>
          <w:sz w:val="22"/>
          <w:szCs w:val="22"/>
        </w:rPr>
        <w:t xml:space="preserve">through collaborative working </w:t>
      </w:r>
      <w:r w:rsidRPr="009662EB">
        <w:rPr>
          <w:rFonts w:ascii="Arial" w:hAnsi="Arial" w:cs="Arial"/>
          <w:sz w:val="22"/>
          <w:szCs w:val="22"/>
        </w:rPr>
        <w:t xml:space="preserve">by </w:t>
      </w:r>
      <w:r w:rsidR="004B5E2F" w:rsidRPr="009662EB">
        <w:rPr>
          <w:rFonts w:ascii="Arial" w:hAnsi="Arial" w:cs="Arial"/>
          <w:sz w:val="22"/>
          <w:szCs w:val="22"/>
        </w:rPr>
        <w:t>stakeholders</w:t>
      </w:r>
      <w:r w:rsidR="00D44576" w:rsidRPr="009662EB">
        <w:rPr>
          <w:rFonts w:ascii="Arial" w:hAnsi="Arial" w:cs="Arial"/>
          <w:sz w:val="22"/>
          <w:szCs w:val="22"/>
        </w:rPr>
        <w:t xml:space="preserve">, thereby </w:t>
      </w:r>
      <w:r w:rsidR="004B5E2F" w:rsidRPr="009662EB">
        <w:rPr>
          <w:rFonts w:ascii="Arial" w:hAnsi="Arial" w:cs="Arial"/>
          <w:sz w:val="22"/>
          <w:szCs w:val="22"/>
        </w:rPr>
        <w:t>exten</w:t>
      </w:r>
      <w:r w:rsidR="00D44576" w:rsidRPr="009662EB">
        <w:rPr>
          <w:rFonts w:ascii="Arial" w:hAnsi="Arial" w:cs="Arial"/>
          <w:sz w:val="22"/>
          <w:szCs w:val="22"/>
        </w:rPr>
        <w:t>ding</w:t>
      </w:r>
      <w:r w:rsidRPr="009662EB">
        <w:rPr>
          <w:rFonts w:ascii="Arial" w:hAnsi="Arial" w:cs="Arial"/>
          <w:sz w:val="22"/>
          <w:szCs w:val="22"/>
        </w:rPr>
        <w:t xml:space="preserve"> the catchment based approach (</w:t>
      </w:r>
      <w:proofErr w:type="spellStart"/>
      <w:r w:rsidRPr="009662EB">
        <w:rPr>
          <w:rFonts w:ascii="Arial" w:hAnsi="Arial" w:cs="Arial"/>
          <w:sz w:val="22"/>
          <w:szCs w:val="22"/>
        </w:rPr>
        <w:t>CaBA</w:t>
      </w:r>
      <w:proofErr w:type="spellEnd"/>
      <w:r w:rsidRPr="009662EB">
        <w:rPr>
          <w:rFonts w:ascii="Arial" w:hAnsi="Arial" w:cs="Arial"/>
          <w:sz w:val="22"/>
          <w:szCs w:val="22"/>
        </w:rPr>
        <w:t xml:space="preserve">) </w:t>
      </w:r>
      <w:r w:rsidR="0073673E" w:rsidRPr="009662EB">
        <w:rPr>
          <w:rFonts w:ascii="Arial" w:hAnsi="Arial" w:cs="Arial"/>
          <w:sz w:val="22"/>
          <w:szCs w:val="22"/>
        </w:rPr>
        <w:t xml:space="preserve">- </w:t>
      </w:r>
      <w:r w:rsidR="00D44576" w:rsidRPr="009662EB">
        <w:rPr>
          <w:rFonts w:ascii="Arial" w:hAnsi="Arial" w:cs="Arial"/>
          <w:sz w:val="22"/>
          <w:szCs w:val="22"/>
        </w:rPr>
        <w:t xml:space="preserve">currently applied to improving water quality </w:t>
      </w:r>
      <w:r w:rsidR="0073673E" w:rsidRPr="009662EB">
        <w:rPr>
          <w:rFonts w:ascii="Arial" w:hAnsi="Arial" w:cs="Arial"/>
          <w:sz w:val="22"/>
          <w:szCs w:val="22"/>
        </w:rPr>
        <w:t xml:space="preserve">- </w:t>
      </w:r>
      <w:r w:rsidRPr="009662EB">
        <w:rPr>
          <w:rFonts w:ascii="Arial" w:hAnsi="Arial" w:cs="Arial"/>
          <w:sz w:val="22"/>
          <w:szCs w:val="22"/>
        </w:rPr>
        <w:t>into water resource management.</w:t>
      </w:r>
    </w:p>
    <w:p w:rsidR="00E56DD6" w:rsidRPr="009662EB" w:rsidRDefault="00E56DD6" w:rsidP="00886479">
      <w:pPr>
        <w:jc w:val="both"/>
        <w:rPr>
          <w:rFonts w:ascii="Arial" w:hAnsi="Arial" w:cs="Arial"/>
          <w:sz w:val="22"/>
          <w:szCs w:val="22"/>
        </w:rPr>
      </w:pPr>
    </w:p>
    <w:p w:rsidR="0064786D" w:rsidRDefault="00D44576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T</w:t>
      </w:r>
      <w:r w:rsidR="0064786D" w:rsidRPr="009662EB">
        <w:rPr>
          <w:rFonts w:ascii="Arial" w:hAnsi="Arial" w:cs="Arial"/>
          <w:sz w:val="22"/>
          <w:szCs w:val="22"/>
        </w:rPr>
        <w:t xml:space="preserve">he Environment Agency will </w:t>
      </w:r>
      <w:r w:rsidRPr="009662EB">
        <w:rPr>
          <w:rFonts w:ascii="Arial" w:hAnsi="Arial" w:cs="Arial"/>
          <w:sz w:val="22"/>
          <w:szCs w:val="22"/>
        </w:rPr>
        <w:t>maintain a pivotal regulatory role in delivering its ‘sustainable catchments’ programme, but it is envisaged that there will b</w:t>
      </w:r>
      <w:r w:rsidR="0064786D" w:rsidRPr="009662EB">
        <w:rPr>
          <w:rFonts w:ascii="Arial" w:hAnsi="Arial" w:cs="Arial"/>
          <w:sz w:val="22"/>
          <w:szCs w:val="22"/>
        </w:rPr>
        <w:t>e a</w:t>
      </w:r>
      <w:r w:rsidRPr="009662EB">
        <w:rPr>
          <w:rFonts w:ascii="Arial" w:hAnsi="Arial" w:cs="Arial"/>
          <w:sz w:val="22"/>
          <w:szCs w:val="22"/>
        </w:rPr>
        <w:t xml:space="preserve"> facilitation </w:t>
      </w:r>
      <w:r w:rsidR="0064786D" w:rsidRPr="009662EB">
        <w:rPr>
          <w:rFonts w:ascii="Arial" w:hAnsi="Arial" w:cs="Arial"/>
          <w:sz w:val="22"/>
          <w:szCs w:val="22"/>
        </w:rPr>
        <w:t xml:space="preserve">role for existing catchment partnerships (CPs) already active as part of </w:t>
      </w:r>
      <w:proofErr w:type="spellStart"/>
      <w:r w:rsidR="0064786D" w:rsidRPr="009662EB">
        <w:rPr>
          <w:rFonts w:ascii="Arial" w:hAnsi="Arial" w:cs="Arial"/>
          <w:sz w:val="22"/>
          <w:szCs w:val="22"/>
        </w:rPr>
        <w:t>CaBA</w:t>
      </w:r>
      <w:proofErr w:type="spellEnd"/>
      <w:r w:rsidR="0064786D" w:rsidRPr="009662EB">
        <w:rPr>
          <w:rFonts w:ascii="Arial" w:hAnsi="Arial" w:cs="Arial"/>
          <w:sz w:val="22"/>
          <w:szCs w:val="22"/>
        </w:rPr>
        <w:t>.</w:t>
      </w:r>
    </w:p>
    <w:p w:rsidR="008C171A" w:rsidRPr="009662EB" w:rsidRDefault="008C171A" w:rsidP="00886479">
      <w:pPr>
        <w:jc w:val="both"/>
        <w:rPr>
          <w:rFonts w:ascii="Arial" w:hAnsi="Arial" w:cs="Arial"/>
          <w:sz w:val="22"/>
          <w:szCs w:val="22"/>
        </w:rPr>
      </w:pPr>
    </w:p>
    <w:p w:rsidR="0064786D" w:rsidRDefault="00372DAE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For example, </w:t>
      </w:r>
      <w:r w:rsidR="0064786D" w:rsidRPr="009662EB">
        <w:rPr>
          <w:rFonts w:ascii="Arial" w:hAnsi="Arial" w:cs="Arial"/>
          <w:sz w:val="22"/>
          <w:szCs w:val="22"/>
        </w:rPr>
        <w:t xml:space="preserve">CPs </w:t>
      </w:r>
      <w:r w:rsidRPr="009662EB">
        <w:rPr>
          <w:rFonts w:ascii="Arial" w:hAnsi="Arial" w:cs="Arial"/>
          <w:sz w:val="22"/>
          <w:szCs w:val="22"/>
        </w:rPr>
        <w:t>may</w:t>
      </w:r>
      <w:r w:rsidR="0064786D" w:rsidRPr="009662EB">
        <w:rPr>
          <w:rFonts w:ascii="Arial" w:hAnsi="Arial" w:cs="Arial"/>
          <w:sz w:val="22"/>
          <w:szCs w:val="22"/>
        </w:rPr>
        <w:t xml:space="preserve"> be asked to play a central role in helping to find local solutions to water availability issues, with solutions recorded in catchment-based abstraction licensing strategies</w:t>
      </w:r>
      <w:r w:rsidRPr="009662EB">
        <w:rPr>
          <w:rFonts w:ascii="Arial" w:hAnsi="Arial" w:cs="Arial"/>
          <w:sz w:val="22"/>
          <w:szCs w:val="22"/>
        </w:rPr>
        <w:t xml:space="preserve"> (all Environment Agency licensing strategies are due to be reviewed and updated</w:t>
      </w:r>
      <w:r w:rsidR="001C7D5B" w:rsidRPr="009662EB">
        <w:rPr>
          <w:rFonts w:ascii="Arial" w:hAnsi="Arial" w:cs="Arial"/>
          <w:sz w:val="22"/>
          <w:szCs w:val="22"/>
        </w:rPr>
        <w:t xml:space="preserve"> over the next few years</w:t>
      </w:r>
      <w:r w:rsidRPr="009662EB">
        <w:rPr>
          <w:rFonts w:ascii="Arial" w:hAnsi="Arial" w:cs="Arial"/>
          <w:sz w:val="22"/>
          <w:szCs w:val="22"/>
        </w:rPr>
        <w:t>)</w:t>
      </w:r>
      <w:r w:rsidR="0064786D" w:rsidRPr="009662EB">
        <w:rPr>
          <w:rFonts w:ascii="Arial" w:hAnsi="Arial" w:cs="Arial"/>
          <w:sz w:val="22"/>
          <w:szCs w:val="22"/>
        </w:rPr>
        <w:t>.</w:t>
      </w:r>
    </w:p>
    <w:p w:rsidR="008C171A" w:rsidRDefault="008C171A" w:rsidP="00886479">
      <w:pPr>
        <w:jc w:val="both"/>
        <w:rPr>
          <w:rFonts w:ascii="Arial" w:hAnsi="Arial" w:cs="Arial"/>
          <w:sz w:val="22"/>
          <w:szCs w:val="22"/>
        </w:rPr>
      </w:pPr>
    </w:p>
    <w:p w:rsidR="004518E2" w:rsidRDefault="00372DAE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T</w:t>
      </w:r>
      <w:r w:rsidR="007C09D0" w:rsidRPr="009662EB">
        <w:rPr>
          <w:rFonts w:ascii="Arial" w:hAnsi="Arial" w:cs="Arial"/>
          <w:sz w:val="22"/>
          <w:szCs w:val="22"/>
        </w:rPr>
        <w:t xml:space="preserve">he public water sector plays an increasingly prominent role in </w:t>
      </w:r>
      <w:proofErr w:type="spellStart"/>
      <w:r w:rsidR="007C09D0" w:rsidRPr="009662EB">
        <w:rPr>
          <w:rFonts w:ascii="Arial" w:hAnsi="Arial" w:cs="Arial"/>
          <w:sz w:val="22"/>
          <w:szCs w:val="22"/>
        </w:rPr>
        <w:t>CaBA</w:t>
      </w:r>
      <w:proofErr w:type="spellEnd"/>
      <w:r w:rsidR="007C09D0" w:rsidRPr="009662EB">
        <w:rPr>
          <w:rFonts w:ascii="Arial" w:hAnsi="Arial" w:cs="Arial"/>
          <w:sz w:val="22"/>
          <w:szCs w:val="22"/>
        </w:rPr>
        <w:t xml:space="preserve"> because improve</w:t>
      </w:r>
      <w:r w:rsidR="009E6BE7" w:rsidRPr="009662EB">
        <w:rPr>
          <w:rFonts w:ascii="Arial" w:hAnsi="Arial" w:cs="Arial"/>
          <w:sz w:val="22"/>
          <w:szCs w:val="22"/>
        </w:rPr>
        <w:t>ments in agricultural best practice can improve</w:t>
      </w:r>
      <w:r w:rsidR="007C09D0" w:rsidRPr="009662EB">
        <w:rPr>
          <w:rFonts w:ascii="Arial" w:hAnsi="Arial" w:cs="Arial"/>
          <w:sz w:val="22"/>
          <w:szCs w:val="22"/>
        </w:rPr>
        <w:t xml:space="preserve"> water quality </w:t>
      </w:r>
      <w:r w:rsidR="009E6BE7" w:rsidRPr="009662EB">
        <w:rPr>
          <w:rFonts w:ascii="Arial" w:hAnsi="Arial" w:cs="Arial"/>
          <w:sz w:val="22"/>
          <w:szCs w:val="22"/>
        </w:rPr>
        <w:t xml:space="preserve">and so </w:t>
      </w:r>
      <w:r w:rsidR="007C09D0" w:rsidRPr="009662EB">
        <w:rPr>
          <w:rFonts w:ascii="Arial" w:hAnsi="Arial" w:cs="Arial"/>
          <w:sz w:val="22"/>
          <w:szCs w:val="22"/>
        </w:rPr>
        <w:t xml:space="preserve">help in the delivery of </w:t>
      </w:r>
      <w:r w:rsidR="0064786D" w:rsidRPr="009662EB">
        <w:rPr>
          <w:rFonts w:ascii="Arial" w:hAnsi="Arial" w:cs="Arial"/>
          <w:sz w:val="22"/>
          <w:szCs w:val="22"/>
        </w:rPr>
        <w:t xml:space="preserve">public water </w:t>
      </w:r>
      <w:r w:rsidR="007C09D0" w:rsidRPr="009662EB">
        <w:rPr>
          <w:rFonts w:ascii="Arial" w:hAnsi="Arial" w:cs="Arial"/>
          <w:sz w:val="22"/>
          <w:szCs w:val="22"/>
        </w:rPr>
        <w:t xml:space="preserve">company </w:t>
      </w:r>
      <w:r w:rsidR="0064786D" w:rsidRPr="009662EB">
        <w:rPr>
          <w:rFonts w:ascii="Arial" w:hAnsi="Arial" w:cs="Arial"/>
          <w:sz w:val="22"/>
          <w:szCs w:val="22"/>
        </w:rPr>
        <w:t xml:space="preserve">(PWC) business </w:t>
      </w:r>
      <w:r w:rsidR="007C09D0" w:rsidRPr="009662EB">
        <w:rPr>
          <w:rFonts w:ascii="Arial" w:hAnsi="Arial" w:cs="Arial"/>
          <w:sz w:val="22"/>
          <w:szCs w:val="22"/>
        </w:rPr>
        <w:t xml:space="preserve">plans. </w:t>
      </w:r>
    </w:p>
    <w:p w:rsidR="008C171A" w:rsidRDefault="008C171A" w:rsidP="00886479">
      <w:pPr>
        <w:jc w:val="both"/>
        <w:rPr>
          <w:rFonts w:ascii="Arial" w:hAnsi="Arial" w:cs="Arial"/>
          <w:sz w:val="22"/>
          <w:szCs w:val="22"/>
        </w:rPr>
      </w:pPr>
    </w:p>
    <w:p w:rsidR="004518E2" w:rsidRPr="009662EB" w:rsidRDefault="00175720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The NFU </w:t>
      </w:r>
      <w:r w:rsidR="00372DAE" w:rsidRPr="009662EB">
        <w:rPr>
          <w:rFonts w:ascii="Arial" w:hAnsi="Arial" w:cs="Arial"/>
          <w:sz w:val="22"/>
          <w:szCs w:val="22"/>
        </w:rPr>
        <w:t xml:space="preserve">is keen to </w:t>
      </w:r>
      <w:r w:rsidR="00F226E6" w:rsidRPr="009662EB">
        <w:rPr>
          <w:rFonts w:ascii="Arial" w:hAnsi="Arial" w:cs="Arial"/>
          <w:sz w:val="22"/>
          <w:szCs w:val="22"/>
        </w:rPr>
        <w:t xml:space="preserve">test the </w:t>
      </w:r>
      <w:r w:rsidR="00281523" w:rsidRPr="009662EB">
        <w:rPr>
          <w:rFonts w:ascii="Arial" w:hAnsi="Arial" w:cs="Arial"/>
          <w:sz w:val="22"/>
          <w:szCs w:val="22"/>
        </w:rPr>
        <w:t xml:space="preserve">proposed </w:t>
      </w:r>
      <w:r w:rsidR="00F226E6" w:rsidRPr="009662EB">
        <w:rPr>
          <w:rFonts w:ascii="Arial" w:hAnsi="Arial" w:cs="Arial"/>
          <w:sz w:val="22"/>
          <w:szCs w:val="22"/>
        </w:rPr>
        <w:t xml:space="preserve">catchment plan approach to establish whether it can </w:t>
      </w:r>
      <w:r w:rsidR="004518E2" w:rsidRPr="009662EB">
        <w:rPr>
          <w:rFonts w:ascii="Arial" w:hAnsi="Arial" w:cs="Arial"/>
          <w:sz w:val="22"/>
          <w:szCs w:val="22"/>
        </w:rPr>
        <w:t>deliver more water for food production</w:t>
      </w:r>
      <w:r w:rsidR="00F226E6" w:rsidRPr="009662EB">
        <w:rPr>
          <w:rFonts w:ascii="Arial" w:hAnsi="Arial" w:cs="Arial"/>
          <w:sz w:val="22"/>
          <w:szCs w:val="22"/>
        </w:rPr>
        <w:t>. The</w:t>
      </w:r>
      <w:r w:rsidR="004518E2" w:rsidRPr="009662EB">
        <w:rPr>
          <w:rFonts w:ascii="Arial" w:hAnsi="Arial" w:cs="Arial"/>
          <w:sz w:val="22"/>
          <w:szCs w:val="22"/>
        </w:rPr>
        <w:t xml:space="preserve"> </w:t>
      </w:r>
      <w:r w:rsidR="00372DAE" w:rsidRPr="009662EB">
        <w:rPr>
          <w:rFonts w:ascii="Arial" w:hAnsi="Arial" w:cs="Arial"/>
          <w:sz w:val="22"/>
          <w:szCs w:val="22"/>
        </w:rPr>
        <w:t>Environment Agency</w:t>
      </w:r>
      <w:r w:rsidR="004518E2" w:rsidRPr="009662EB">
        <w:rPr>
          <w:rFonts w:ascii="Arial" w:hAnsi="Arial" w:cs="Arial"/>
          <w:sz w:val="22"/>
          <w:szCs w:val="22"/>
        </w:rPr>
        <w:t xml:space="preserve"> </w:t>
      </w:r>
      <w:r w:rsidR="00F226E6" w:rsidRPr="009662EB">
        <w:rPr>
          <w:rFonts w:ascii="Arial" w:hAnsi="Arial" w:cs="Arial"/>
          <w:sz w:val="22"/>
          <w:szCs w:val="22"/>
        </w:rPr>
        <w:t>hopes</w:t>
      </w:r>
      <w:r w:rsidR="004518E2" w:rsidRPr="009662EB">
        <w:rPr>
          <w:rFonts w:ascii="Arial" w:hAnsi="Arial" w:cs="Arial"/>
          <w:sz w:val="22"/>
          <w:szCs w:val="22"/>
        </w:rPr>
        <w:t xml:space="preserve"> that the programme </w:t>
      </w:r>
      <w:r w:rsidR="00F226E6" w:rsidRPr="009662EB">
        <w:rPr>
          <w:rFonts w:ascii="Arial" w:hAnsi="Arial" w:cs="Arial"/>
          <w:sz w:val="22"/>
          <w:szCs w:val="22"/>
        </w:rPr>
        <w:t>will</w:t>
      </w:r>
      <w:r w:rsidR="004518E2" w:rsidRPr="009662EB">
        <w:rPr>
          <w:rFonts w:ascii="Arial" w:hAnsi="Arial" w:cs="Arial"/>
          <w:sz w:val="22"/>
          <w:szCs w:val="22"/>
        </w:rPr>
        <w:t xml:space="preserve"> identify </w:t>
      </w:r>
      <w:r w:rsidR="00281523" w:rsidRPr="009662EB">
        <w:rPr>
          <w:rFonts w:ascii="Arial" w:hAnsi="Arial" w:cs="Arial"/>
          <w:sz w:val="22"/>
          <w:szCs w:val="22"/>
        </w:rPr>
        <w:t>water bodies</w:t>
      </w:r>
      <w:r w:rsidR="004518E2" w:rsidRPr="009662EB">
        <w:rPr>
          <w:rFonts w:ascii="Arial" w:hAnsi="Arial" w:cs="Arial"/>
          <w:sz w:val="22"/>
          <w:szCs w:val="22"/>
        </w:rPr>
        <w:t xml:space="preserve"> where more water c</w:t>
      </w:r>
      <w:r w:rsidR="00372DAE" w:rsidRPr="009662EB">
        <w:rPr>
          <w:rFonts w:ascii="Arial" w:hAnsi="Arial" w:cs="Arial"/>
          <w:sz w:val="22"/>
          <w:szCs w:val="22"/>
        </w:rPr>
        <w:t>an</w:t>
      </w:r>
      <w:r w:rsidR="004518E2" w:rsidRPr="009662EB">
        <w:rPr>
          <w:rFonts w:ascii="Arial" w:hAnsi="Arial" w:cs="Arial"/>
          <w:sz w:val="22"/>
          <w:szCs w:val="22"/>
        </w:rPr>
        <w:t xml:space="preserve"> be squeezed from the system for users without having any environmental impact.</w:t>
      </w:r>
    </w:p>
    <w:p w:rsidR="00A96BEC" w:rsidRDefault="00A96BEC" w:rsidP="00886479">
      <w:pPr>
        <w:jc w:val="both"/>
        <w:rPr>
          <w:rFonts w:ascii="Arial" w:hAnsi="Arial" w:cs="Arial"/>
          <w:sz w:val="22"/>
          <w:szCs w:val="22"/>
        </w:rPr>
      </w:pPr>
    </w:p>
    <w:p w:rsidR="004518E2" w:rsidRPr="009662EB" w:rsidRDefault="004518E2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Abstractor groups </w:t>
      </w:r>
      <w:r w:rsidR="00372DAE" w:rsidRPr="009662EB">
        <w:rPr>
          <w:rFonts w:ascii="Arial" w:hAnsi="Arial" w:cs="Arial"/>
          <w:sz w:val="22"/>
          <w:szCs w:val="22"/>
        </w:rPr>
        <w:t>could</w:t>
      </w:r>
      <w:r w:rsidRPr="009662EB">
        <w:rPr>
          <w:rFonts w:ascii="Arial" w:hAnsi="Arial" w:cs="Arial"/>
          <w:sz w:val="22"/>
          <w:szCs w:val="22"/>
        </w:rPr>
        <w:t xml:space="preserve"> have a potentially important role in </w:t>
      </w:r>
      <w:r w:rsidR="003C1D49" w:rsidRPr="009662EB">
        <w:rPr>
          <w:rFonts w:ascii="Arial" w:hAnsi="Arial" w:cs="Arial"/>
          <w:sz w:val="22"/>
          <w:szCs w:val="22"/>
        </w:rPr>
        <w:t>catchment planning</w:t>
      </w:r>
      <w:r w:rsidRPr="009662EB">
        <w:rPr>
          <w:rFonts w:ascii="Arial" w:hAnsi="Arial" w:cs="Arial"/>
          <w:sz w:val="22"/>
          <w:szCs w:val="22"/>
        </w:rPr>
        <w:t xml:space="preserve"> to provide local solutions to the storage and sharing of water (and to capture it before it goes out to sea); new groups may need to be formed in some areas.</w:t>
      </w:r>
    </w:p>
    <w:p w:rsidR="00130B24" w:rsidRPr="009662EB" w:rsidRDefault="00130B24" w:rsidP="00886479">
      <w:pPr>
        <w:jc w:val="both"/>
        <w:rPr>
          <w:rFonts w:ascii="Arial" w:hAnsi="Arial" w:cs="Arial"/>
          <w:sz w:val="22"/>
          <w:szCs w:val="22"/>
        </w:rPr>
      </w:pPr>
    </w:p>
    <w:p w:rsidR="0018056D" w:rsidRDefault="00D2309C" w:rsidP="008864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Catchment Partnerships have no expertise in water resource management and its legal framework and so</w:t>
      </w:r>
      <w:r w:rsidR="00A96BEC">
        <w:rPr>
          <w:rFonts w:ascii="Arial" w:hAnsi="Arial" w:cs="Arial"/>
          <w:sz w:val="22"/>
          <w:szCs w:val="22"/>
        </w:rPr>
        <w:t xml:space="preserve"> a framework of working together will need to be developed. I</w:t>
      </w:r>
      <w:r w:rsidR="00130B24" w:rsidRPr="009662EB">
        <w:rPr>
          <w:rFonts w:ascii="Arial" w:hAnsi="Arial" w:cs="Arial"/>
          <w:sz w:val="22"/>
          <w:szCs w:val="22"/>
        </w:rPr>
        <w:t xml:space="preserve">ssues </w:t>
      </w:r>
      <w:r>
        <w:rPr>
          <w:rFonts w:ascii="Arial" w:hAnsi="Arial" w:cs="Arial"/>
          <w:sz w:val="22"/>
          <w:szCs w:val="22"/>
        </w:rPr>
        <w:t xml:space="preserve">relating to </w:t>
      </w:r>
      <w:r w:rsidR="00130B24" w:rsidRPr="009662EB">
        <w:rPr>
          <w:rFonts w:ascii="Arial" w:hAnsi="Arial" w:cs="Arial"/>
          <w:sz w:val="22"/>
          <w:szCs w:val="22"/>
        </w:rPr>
        <w:t xml:space="preserve">water governance </w:t>
      </w:r>
      <w:r w:rsidR="00CC6798" w:rsidRPr="009662EB">
        <w:rPr>
          <w:rFonts w:ascii="Arial" w:hAnsi="Arial" w:cs="Arial"/>
          <w:sz w:val="22"/>
          <w:szCs w:val="22"/>
        </w:rPr>
        <w:t xml:space="preserve">(local allocation rules, who pays and how much) will need to be </w:t>
      </w:r>
      <w:r w:rsidR="00A96BEC">
        <w:rPr>
          <w:rFonts w:ascii="Arial" w:hAnsi="Arial" w:cs="Arial"/>
          <w:sz w:val="22"/>
          <w:szCs w:val="22"/>
        </w:rPr>
        <w:t>will be important</w:t>
      </w:r>
      <w:r w:rsidR="00CC6798" w:rsidRPr="009662EB">
        <w:rPr>
          <w:rFonts w:ascii="Arial" w:hAnsi="Arial" w:cs="Arial"/>
          <w:sz w:val="22"/>
          <w:szCs w:val="22"/>
        </w:rPr>
        <w:t xml:space="preserve">. </w:t>
      </w:r>
    </w:p>
    <w:p w:rsidR="002E2605" w:rsidRDefault="002E2605" w:rsidP="00886479">
      <w:pPr>
        <w:jc w:val="both"/>
        <w:rPr>
          <w:rFonts w:ascii="Arial" w:hAnsi="Arial" w:cs="Arial"/>
          <w:sz w:val="22"/>
          <w:szCs w:val="22"/>
        </w:rPr>
      </w:pPr>
    </w:p>
    <w:p w:rsidR="002E2605" w:rsidRPr="009662EB" w:rsidRDefault="002E2605" w:rsidP="002E26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voluntary approach in catchments will be underpinned by </w:t>
      </w:r>
      <w:r w:rsidR="00637B2B">
        <w:rPr>
          <w:rFonts w:ascii="Arial" w:hAnsi="Arial" w:cs="Arial"/>
          <w:sz w:val="22"/>
          <w:szCs w:val="22"/>
        </w:rPr>
        <w:t xml:space="preserve">a set of </w:t>
      </w:r>
      <w:r>
        <w:rPr>
          <w:rFonts w:ascii="Arial" w:hAnsi="Arial" w:cs="Arial"/>
          <w:sz w:val="22"/>
          <w:szCs w:val="22"/>
        </w:rPr>
        <w:t xml:space="preserve">regulatory tools: </w:t>
      </w:r>
    </w:p>
    <w:p w:rsidR="000D6092" w:rsidRDefault="002E2605" w:rsidP="000D6092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  <w:sz w:val="22"/>
          <w:szCs w:val="22"/>
          <w:lang w:val="en"/>
        </w:rPr>
      </w:pPr>
      <w:r w:rsidRPr="000D6092">
        <w:rPr>
          <w:rFonts w:ascii="Arial" w:hAnsi="Arial" w:cs="Arial"/>
          <w:sz w:val="22"/>
          <w:szCs w:val="22"/>
          <w:lang w:val="en"/>
        </w:rPr>
        <w:t xml:space="preserve">Introduction of controls on more </w:t>
      </w:r>
      <w:proofErr w:type="spellStart"/>
      <w:r w:rsidRPr="000D6092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Pr="000D6092">
        <w:rPr>
          <w:rFonts w:ascii="Arial" w:hAnsi="Arial" w:cs="Arial"/>
          <w:sz w:val="22"/>
          <w:szCs w:val="22"/>
          <w:lang w:val="en"/>
        </w:rPr>
        <w:t xml:space="preserve"> to better protect the environment, particularly at low flows</w:t>
      </w:r>
    </w:p>
    <w:p w:rsidR="002E2605" w:rsidRPr="008C171A" w:rsidRDefault="002E2605" w:rsidP="000D6092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C</w:t>
      </w:r>
      <w:r w:rsidRPr="008C171A">
        <w:rPr>
          <w:rFonts w:ascii="Arial" w:hAnsi="Arial" w:cs="Arial"/>
          <w:sz w:val="22"/>
          <w:szCs w:val="22"/>
          <w:lang w:val="en"/>
        </w:rPr>
        <w:t xml:space="preserve">apping </w:t>
      </w:r>
      <w:proofErr w:type="spellStart"/>
      <w:r w:rsidRPr="008C171A">
        <w:rPr>
          <w:rFonts w:ascii="Arial" w:hAnsi="Arial" w:cs="Arial"/>
          <w:sz w:val="22"/>
          <w:szCs w:val="22"/>
          <w:lang w:val="en"/>
        </w:rPr>
        <w:t>licence</w:t>
      </w:r>
      <w:proofErr w:type="spellEnd"/>
      <w:r>
        <w:rPr>
          <w:rFonts w:ascii="Arial" w:hAnsi="Arial" w:cs="Arial"/>
          <w:sz w:val="22"/>
          <w:szCs w:val="22"/>
          <w:lang w:val="en"/>
        </w:rPr>
        <w:t xml:space="preserve"> volume</w:t>
      </w:r>
      <w:r w:rsidRPr="008C171A">
        <w:rPr>
          <w:rFonts w:ascii="Arial" w:hAnsi="Arial" w:cs="Arial"/>
          <w:sz w:val="22"/>
          <w:szCs w:val="22"/>
          <w:lang w:val="en"/>
        </w:rPr>
        <w:t>s to prevent increased abstraction damaging the environment</w:t>
      </w:r>
    </w:p>
    <w:p w:rsidR="002E2605" w:rsidRPr="008C171A" w:rsidRDefault="002E2605" w:rsidP="000D6092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F</w:t>
      </w:r>
      <w:r w:rsidRPr="008C171A">
        <w:rPr>
          <w:rFonts w:ascii="Arial" w:hAnsi="Arial" w:cs="Arial"/>
          <w:sz w:val="22"/>
          <w:szCs w:val="22"/>
          <w:lang w:val="en"/>
        </w:rPr>
        <w:t>ine</w:t>
      </w:r>
      <w:r>
        <w:rPr>
          <w:rFonts w:ascii="Arial" w:hAnsi="Arial" w:cs="Arial"/>
          <w:sz w:val="22"/>
          <w:szCs w:val="22"/>
          <w:lang w:val="en"/>
        </w:rPr>
        <w:t>-</w:t>
      </w:r>
      <w:r w:rsidRPr="008C171A">
        <w:rPr>
          <w:rFonts w:ascii="Arial" w:hAnsi="Arial" w:cs="Arial"/>
          <w:sz w:val="22"/>
          <w:szCs w:val="22"/>
          <w:lang w:val="en"/>
        </w:rPr>
        <w:t>tuning the use of surface water and groundwater sources to make the best use of water when it is available while protecting the environment</w:t>
      </w:r>
    </w:p>
    <w:p w:rsidR="002E2605" w:rsidRPr="008C171A" w:rsidRDefault="002E2605" w:rsidP="000D6092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S</w:t>
      </w:r>
      <w:r w:rsidRPr="008C171A">
        <w:rPr>
          <w:rFonts w:ascii="Arial" w:hAnsi="Arial" w:cs="Arial"/>
          <w:sz w:val="22"/>
          <w:szCs w:val="22"/>
          <w:lang w:val="en"/>
        </w:rPr>
        <w:t>upport</w:t>
      </w:r>
      <w:r>
        <w:rPr>
          <w:rFonts w:ascii="Arial" w:hAnsi="Arial" w:cs="Arial"/>
          <w:sz w:val="22"/>
          <w:szCs w:val="22"/>
          <w:lang w:val="en"/>
        </w:rPr>
        <w:t xml:space="preserve"> for</w:t>
      </w:r>
      <w:r w:rsidRPr="008C171A">
        <w:rPr>
          <w:rFonts w:ascii="Arial" w:hAnsi="Arial" w:cs="Arial"/>
          <w:sz w:val="22"/>
          <w:szCs w:val="22"/>
          <w:lang w:val="en"/>
        </w:rPr>
        <w:t xml:space="preserve"> rapid water trading where it is needed most to allow abstractors to share access to water quickly</w:t>
      </w:r>
    </w:p>
    <w:p w:rsidR="002E2605" w:rsidRPr="008C171A" w:rsidRDefault="002E2605" w:rsidP="000D6092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A</w:t>
      </w:r>
      <w:r w:rsidRPr="008C171A">
        <w:rPr>
          <w:rFonts w:ascii="Arial" w:hAnsi="Arial" w:cs="Arial"/>
          <w:sz w:val="22"/>
          <w:szCs w:val="22"/>
          <w:lang w:val="en"/>
        </w:rPr>
        <w:t>llowing some winter abstractors to take water at the highest flows in the summer to boost the use of stored water</w:t>
      </w:r>
    </w:p>
    <w:p w:rsidR="002E2605" w:rsidRPr="008C171A" w:rsidRDefault="002E2605" w:rsidP="000D6092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S</w:t>
      </w:r>
      <w:r w:rsidRPr="008C171A">
        <w:rPr>
          <w:rFonts w:ascii="Arial" w:hAnsi="Arial" w:cs="Arial"/>
          <w:sz w:val="22"/>
          <w:szCs w:val="22"/>
          <w:lang w:val="en"/>
        </w:rPr>
        <w:t>haring real-time information on river flows and forecast changes to help abstractors plan their water use</w:t>
      </w:r>
    </w:p>
    <w:p w:rsidR="002E2605" w:rsidRPr="008C171A" w:rsidRDefault="002E2605" w:rsidP="000D6092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M</w:t>
      </w:r>
      <w:r w:rsidRPr="008C171A">
        <w:rPr>
          <w:rFonts w:ascii="Arial" w:hAnsi="Arial" w:cs="Arial"/>
          <w:sz w:val="22"/>
          <w:szCs w:val="22"/>
          <w:lang w:val="en"/>
        </w:rPr>
        <w:t>anaging water discharges to benefit abstractors downstream who depend on them</w:t>
      </w:r>
    </w:p>
    <w:p w:rsidR="00E26B0E" w:rsidRPr="00E26B0E" w:rsidRDefault="00637B2B" w:rsidP="00E26B0E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lastRenderedPageBreak/>
        <w:t>I</w:t>
      </w:r>
      <w:r w:rsidR="00E26B0E" w:rsidRPr="00E26B0E">
        <w:rPr>
          <w:rFonts w:ascii="Arial" w:hAnsi="Arial" w:cs="Arial"/>
          <w:b/>
          <w:bCs/>
          <w:sz w:val="22"/>
          <w:szCs w:val="22"/>
          <w:lang w:val="en"/>
        </w:rPr>
        <w:t>nitial priority catchments</w:t>
      </w:r>
    </w:p>
    <w:p w:rsidR="00197B4F" w:rsidRDefault="00E26B0E" w:rsidP="00E26B0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Defra and the Environment Agency have </w:t>
      </w:r>
      <w:r w:rsidRPr="00E26B0E">
        <w:rPr>
          <w:rFonts w:ascii="Arial" w:hAnsi="Arial" w:cs="Arial"/>
          <w:sz w:val="22"/>
          <w:szCs w:val="22"/>
          <w:lang w:val="en"/>
        </w:rPr>
        <w:t>identifie</w:t>
      </w:r>
      <w:r>
        <w:rPr>
          <w:rFonts w:ascii="Arial" w:hAnsi="Arial" w:cs="Arial"/>
          <w:sz w:val="22"/>
          <w:szCs w:val="22"/>
          <w:lang w:val="en"/>
        </w:rPr>
        <w:t>d</w:t>
      </w:r>
      <w:r w:rsidRPr="00E26B0E">
        <w:rPr>
          <w:rFonts w:ascii="Arial" w:hAnsi="Arial" w:cs="Arial"/>
          <w:sz w:val="22"/>
          <w:szCs w:val="22"/>
          <w:lang w:val="en"/>
        </w:rPr>
        <w:t xml:space="preserve"> catchments where there is unmet demand for water and </w:t>
      </w:r>
      <w:r w:rsidR="00637B2B">
        <w:rPr>
          <w:rFonts w:ascii="Arial" w:hAnsi="Arial" w:cs="Arial"/>
          <w:sz w:val="22"/>
          <w:szCs w:val="22"/>
          <w:lang w:val="en"/>
        </w:rPr>
        <w:t xml:space="preserve">the </w:t>
      </w:r>
      <w:r w:rsidRPr="00E26B0E">
        <w:rPr>
          <w:rFonts w:ascii="Arial" w:hAnsi="Arial" w:cs="Arial"/>
          <w:sz w:val="22"/>
          <w:szCs w:val="22"/>
          <w:lang w:val="en"/>
        </w:rPr>
        <w:t xml:space="preserve">potential to use innovative licensing approaches to help meet that demand. </w:t>
      </w:r>
    </w:p>
    <w:p w:rsidR="00E26B0E" w:rsidRDefault="00637B2B" w:rsidP="00E26B0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Four p</w:t>
      </w:r>
      <w:r w:rsidR="00E26B0E">
        <w:rPr>
          <w:rFonts w:ascii="Arial" w:hAnsi="Arial" w:cs="Arial"/>
          <w:sz w:val="22"/>
          <w:szCs w:val="22"/>
          <w:lang w:val="en"/>
        </w:rPr>
        <w:t xml:space="preserve">ilot catchments </w:t>
      </w:r>
      <w:r w:rsidR="00197B4F">
        <w:rPr>
          <w:rFonts w:ascii="Arial" w:hAnsi="Arial" w:cs="Arial"/>
          <w:sz w:val="22"/>
          <w:szCs w:val="22"/>
          <w:lang w:val="en"/>
        </w:rPr>
        <w:t xml:space="preserve">have been selected to test the collaborative approach. These </w:t>
      </w:r>
      <w:r>
        <w:rPr>
          <w:rFonts w:ascii="Arial" w:hAnsi="Arial" w:cs="Arial"/>
          <w:sz w:val="22"/>
          <w:szCs w:val="22"/>
          <w:lang w:val="en"/>
        </w:rPr>
        <w:t>ar</w:t>
      </w:r>
      <w:r w:rsidR="00197B4F">
        <w:rPr>
          <w:rFonts w:ascii="Arial" w:hAnsi="Arial" w:cs="Arial"/>
          <w:sz w:val="22"/>
          <w:szCs w:val="22"/>
          <w:lang w:val="en"/>
        </w:rPr>
        <w:t>e</w:t>
      </w:r>
      <w:r w:rsidR="00E26B0E">
        <w:rPr>
          <w:rFonts w:ascii="Arial" w:hAnsi="Arial" w:cs="Arial"/>
          <w:sz w:val="22"/>
          <w:szCs w:val="22"/>
          <w:lang w:val="en"/>
        </w:rPr>
        <w:t>:</w:t>
      </w:r>
    </w:p>
    <w:p w:rsidR="0076022C" w:rsidRDefault="0076022C" w:rsidP="0076022C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East Suffolk</w:t>
      </w:r>
    </w:p>
    <w:p w:rsidR="0076022C" w:rsidRDefault="0076022C" w:rsidP="0076022C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Medway, Kent</w:t>
      </w:r>
    </w:p>
    <w:p w:rsidR="0076022C" w:rsidRDefault="0076022C" w:rsidP="0076022C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Idle and Torne</w:t>
      </w:r>
      <w:r w:rsidR="00197B4F">
        <w:rPr>
          <w:rFonts w:ascii="Arial" w:hAnsi="Arial" w:cs="Arial"/>
          <w:sz w:val="22"/>
          <w:szCs w:val="22"/>
          <w:lang w:val="en"/>
        </w:rPr>
        <w:t>, primarily Nottinghamshire</w:t>
      </w:r>
    </w:p>
    <w:p w:rsidR="00E26B0E" w:rsidRDefault="0076022C" w:rsidP="00E26B0E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 w:rsidRPr="0076022C">
        <w:rPr>
          <w:rFonts w:ascii="Arial" w:hAnsi="Arial" w:cs="Arial"/>
          <w:sz w:val="22"/>
          <w:szCs w:val="22"/>
          <w:lang w:val="en"/>
        </w:rPr>
        <w:t>Lower Witham, Lincolnshire</w:t>
      </w:r>
    </w:p>
    <w:p w:rsidR="00197B4F" w:rsidRPr="00197B4F" w:rsidRDefault="00197B4F" w:rsidP="00197B4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The NFU is already involved in existing abstractor activity in all of these catchments</w:t>
      </w:r>
    </w:p>
    <w:p w:rsidR="00E26B0E" w:rsidRDefault="00E26B0E" w:rsidP="00E26B0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Defra is confident that a</w:t>
      </w:r>
      <w:r w:rsidRPr="00E26B0E">
        <w:rPr>
          <w:rFonts w:ascii="Arial" w:hAnsi="Arial" w:cs="Arial"/>
          <w:sz w:val="22"/>
          <w:szCs w:val="22"/>
          <w:lang w:val="en"/>
        </w:rPr>
        <w:t xml:space="preserve"> collaborative </w:t>
      </w:r>
      <w:r>
        <w:rPr>
          <w:rFonts w:ascii="Arial" w:hAnsi="Arial" w:cs="Arial"/>
          <w:sz w:val="22"/>
          <w:szCs w:val="22"/>
          <w:lang w:val="en"/>
        </w:rPr>
        <w:t xml:space="preserve">approach to </w:t>
      </w:r>
      <w:r w:rsidRPr="00E26B0E">
        <w:rPr>
          <w:rFonts w:ascii="Arial" w:hAnsi="Arial" w:cs="Arial"/>
          <w:sz w:val="22"/>
          <w:szCs w:val="22"/>
          <w:lang w:val="en"/>
        </w:rPr>
        <w:t xml:space="preserve">water management will achieve </w:t>
      </w:r>
      <w:r>
        <w:rPr>
          <w:rFonts w:ascii="Arial" w:hAnsi="Arial" w:cs="Arial"/>
          <w:sz w:val="22"/>
          <w:szCs w:val="22"/>
          <w:lang w:val="en"/>
        </w:rPr>
        <w:t>positive</w:t>
      </w:r>
      <w:r w:rsidR="00637B2B">
        <w:rPr>
          <w:rFonts w:ascii="Arial" w:hAnsi="Arial" w:cs="Arial"/>
          <w:sz w:val="22"/>
          <w:szCs w:val="22"/>
          <w:lang w:val="en"/>
        </w:rPr>
        <w:t xml:space="preserve"> results</w:t>
      </w:r>
      <w:r w:rsidRPr="00E26B0E">
        <w:rPr>
          <w:rFonts w:ascii="Arial" w:hAnsi="Arial" w:cs="Arial"/>
          <w:sz w:val="22"/>
          <w:szCs w:val="22"/>
          <w:lang w:val="en"/>
        </w:rPr>
        <w:t>.</w:t>
      </w:r>
      <w:r>
        <w:rPr>
          <w:rFonts w:ascii="Arial" w:hAnsi="Arial" w:cs="Arial"/>
          <w:sz w:val="22"/>
          <w:szCs w:val="22"/>
          <w:lang w:val="en"/>
        </w:rPr>
        <w:t xml:space="preserve"> The effectiveness of the approach in the pilot ca</w:t>
      </w:r>
      <w:r w:rsidR="00197B4F">
        <w:rPr>
          <w:rFonts w:ascii="Arial" w:hAnsi="Arial" w:cs="Arial"/>
          <w:sz w:val="22"/>
          <w:szCs w:val="22"/>
          <w:lang w:val="en"/>
        </w:rPr>
        <w:t>tchments will be reviewed in 20</w:t>
      </w:r>
      <w:r>
        <w:rPr>
          <w:rFonts w:ascii="Arial" w:hAnsi="Arial" w:cs="Arial"/>
          <w:sz w:val="22"/>
          <w:szCs w:val="22"/>
          <w:lang w:val="en"/>
        </w:rPr>
        <w:t>21</w:t>
      </w:r>
      <w:r w:rsidR="00197B4F">
        <w:rPr>
          <w:rFonts w:ascii="Arial" w:hAnsi="Arial" w:cs="Arial"/>
          <w:sz w:val="22"/>
          <w:szCs w:val="22"/>
          <w:lang w:val="en"/>
        </w:rPr>
        <w:t xml:space="preserve">. </w:t>
      </w:r>
    </w:p>
    <w:p w:rsidR="00197B4F" w:rsidRDefault="00197B4F" w:rsidP="00E26B0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The Environment Agency will select a further six </w:t>
      </w:r>
      <w:r w:rsidRPr="00197B4F">
        <w:rPr>
          <w:rFonts w:ascii="Arial" w:hAnsi="Arial" w:cs="Arial"/>
          <w:sz w:val="22"/>
          <w:szCs w:val="22"/>
          <w:lang w:val="en"/>
        </w:rPr>
        <w:t xml:space="preserve">catchments </w:t>
      </w:r>
      <w:r>
        <w:rPr>
          <w:rFonts w:ascii="Arial" w:hAnsi="Arial" w:cs="Arial"/>
          <w:sz w:val="22"/>
          <w:szCs w:val="22"/>
          <w:lang w:val="en"/>
        </w:rPr>
        <w:t xml:space="preserve">for ‘pilot activity’ </w:t>
      </w:r>
      <w:r w:rsidRPr="00197B4F">
        <w:rPr>
          <w:rFonts w:ascii="Arial" w:hAnsi="Arial" w:cs="Arial"/>
          <w:sz w:val="22"/>
          <w:szCs w:val="22"/>
          <w:lang w:val="en"/>
        </w:rPr>
        <w:t>where abstraction is causing flows to regularly dip below environmental requirements or where groundwater is over abstracted.</w:t>
      </w:r>
    </w:p>
    <w:p w:rsidR="00CC6798" w:rsidRPr="009662EB" w:rsidRDefault="00D56C2B" w:rsidP="00637B2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"/>
        </w:rPr>
        <w:t>The licensing strategies for all 10 catchments will be reviewed by 2021.</w:t>
      </w:r>
    </w:p>
    <w:p w:rsidR="0018056D" w:rsidRPr="009662EB" w:rsidRDefault="0018056D" w:rsidP="00886479">
      <w:pPr>
        <w:jc w:val="both"/>
        <w:rPr>
          <w:rFonts w:ascii="Arial" w:hAnsi="Arial" w:cs="Arial"/>
          <w:b/>
          <w:sz w:val="22"/>
          <w:szCs w:val="22"/>
        </w:rPr>
      </w:pPr>
      <w:r w:rsidRPr="009662EB">
        <w:rPr>
          <w:rFonts w:ascii="Arial" w:hAnsi="Arial" w:cs="Arial"/>
          <w:b/>
          <w:sz w:val="22"/>
          <w:szCs w:val="22"/>
        </w:rPr>
        <w:t>Improving user access to water</w:t>
      </w:r>
    </w:p>
    <w:p w:rsidR="004C7BFB" w:rsidRPr="009662EB" w:rsidRDefault="004C7BFB" w:rsidP="00886479">
      <w:pPr>
        <w:jc w:val="both"/>
        <w:rPr>
          <w:rFonts w:ascii="Arial" w:hAnsi="Arial" w:cs="Arial"/>
          <w:b/>
          <w:sz w:val="22"/>
          <w:szCs w:val="22"/>
        </w:rPr>
      </w:pPr>
    </w:p>
    <w:p w:rsidR="001C0C11" w:rsidRPr="009662EB" w:rsidRDefault="00D95711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Defra</w:t>
      </w:r>
      <w:r w:rsidR="00CC6798" w:rsidRPr="009662EB">
        <w:rPr>
          <w:rFonts w:ascii="Arial" w:hAnsi="Arial" w:cs="Arial"/>
          <w:sz w:val="22"/>
          <w:szCs w:val="22"/>
        </w:rPr>
        <w:t xml:space="preserve"> and the Environment Agency </w:t>
      </w:r>
      <w:r w:rsidRPr="009662EB">
        <w:rPr>
          <w:rFonts w:ascii="Arial" w:hAnsi="Arial" w:cs="Arial"/>
          <w:sz w:val="22"/>
          <w:szCs w:val="22"/>
        </w:rPr>
        <w:t xml:space="preserve">want to test the innovative elements of </w:t>
      </w:r>
      <w:r w:rsidR="00CC6798" w:rsidRPr="009662EB">
        <w:rPr>
          <w:rFonts w:ascii="Arial" w:hAnsi="Arial" w:cs="Arial"/>
          <w:sz w:val="22"/>
          <w:szCs w:val="22"/>
        </w:rPr>
        <w:t>reform</w:t>
      </w:r>
      <w:r w:rsidRPr="009662EB">
        <w:rPr>
          <w:rFonts w:ascii="Arial" w:hAnsi="Arial" w:cs="Arial"/>
          <w:sz w:val="22"/>
          <w:szCs w:val="22"/>
        </w:rPr>
        <w:t xml:space="preserve"> – primarily licence trading – in </w:t>
      </w:r>
      <w:r w:rsidR="00CC6798" w:rsidRPr="009662EB">
        <w:rPr>
          <w:rFonts w:ascii="Arial" w:hAnsi="Arial" w:cs="Arial"/>
          <w:sz w:val="22"/>
          <w:szCs w:val="22"/>
        </w:rPr>
        <w:t xml:space="preserve">the </w:t>
      </w:r>
      <w:r w:rsidRPr="009662EB">
        <w:rPr>
          <w:rFonts w:ascii="Arial" w:hAnsi="Arial" w:cs="Arial"/>
          <w:sz w:val="22"/>
          <w:szCs w:val="22"/>
        </w:rPr>
        <w:t xml:space="preserve">pilot catchments. </w:t>
      </w:r>
    </w:p>
    <w:p w:rsidR="001C0C11" w:rsidRPr="009662EB" w:rsidRDefault="001C0C11" w:rsidP="00886479">
      <w:pPr>
        <w:jc w:val="both"/>
        <w:rPr>
          <w:rFonts w:ascii="Arial" w:hAnsi="Arial" w:cs="Arial"/>
          <w:sz w:val="22"/>
          <w:szCs w:val="22"/>
        </w:rPr>
      </w:pPr>
    </w:p>
    <w:p w:rsidR="0018056D" w:rsidRPr="009662EB" w:rsidRDefault="00D95711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Effective trading will need to be supported by a new and improved regulatory system (see modern and simple licensing below). Participation in trading platforms by </w:t>
      </w:r>
      <w:r w:rsidR="00433C55" w:rsidRPr="009662EB">
        <w:rPr>
          <w:rFonts w:ascii="Arial" w:hAnsi="Arial" w:cs="Arial"/>
          <w:sz w:val="22"/>
          <w:szCs w:val="22"/>
        </w:rPr>
        <w:t xml:space="preserve">individual </w:t>
      </w:r>
      <w:r w:rsidRPr="009662EB">
        <w:rPr>
          <w:rFonts w:ascii="Arial" w:hAnsi="Arial" w:cs="Arial"/>
          <w:sz w:val="22"/>
          <w:szCs w:val="22"/>
        </w:rPr>
        <w:t>users in pilot catchments will be voluntary, and will focus on understanding what works well and what works less well.</w:t>
      </w:r>
    </w:p>
    <w:p w:rsidR="008E0244" w:rsidRPr="009662EB" w:rsidRDefault="008E0244" w:rsidP="00886479">
      <w:pPr>
        <w:jc w:val="both"/>
        <w:rPr>
          <w:rFonts w:ascii="Arial" w:hAnsi="Arial" w:cs="Arial"/>
          <w:sz w:val="22"/>
          <w:szCs w:val="22"/>
        </w:rPr>
      </w:pPr>
    </w:p>
    <w:p w:rsidR="00712EEC" w:rsidRPr="009662EB" w:rsidRDefault="00712EEC" w:rsidP="00886479">
      <w:pPr>
        <w:jc w:val="both"/>
        <w:rPr>
          <w:rFonts w:ascii="Arial" w:hAnsi="Arial" w:cs="Arial"/>
          <w:b/>
          <w:sz w:val="22"/>
          <w:szCs w:val="22"/>
        </w:rPr>
      </w:pPr>
      <w:r w:rsidRPr="009662EB">
        <w:rPr>
          <w:rFonts w:ascii="Arial" w:hAnsi="Arial" w:cs="Arial"/>
          <w:b/>
          <w:sz w:val="22"/>
          <w:szCs w:val="22"/>
        </w:rPr>
        <w:t>Modern and simple licensing</w:t>
      </w:r>
    </w:p>
    <w:p w:rsidR="004C7BFB" w:rsidRPr="009662EB" w:rsidRDefault="004C7BFB" w:rsidP="00886479">
      <w:pPr>
        <w:jc w:val="both"/>
        <w:rPr>
          <w:rFonts w:ascii="Arial" w:hAnsi="Arial" w:cs="Arial"/>
          <w:b/>
          <w:sz w:val="22"/>
          <w:szCs w:val="22"/>
        </w:rPr>
      </w:pPr>
    </w:p>
    <w:p w:rsidR="00712EEC" w:rsidRPr="009662EB" w:rsidRDefault="00CC6798" w:rsidP="00886479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The Environment Agency is working on a n</w:t>
      </w:r>
      <w:r w:rsidR="00712EEC" w:rsidRPr="009662EB">
        <w:rPr>
          <w:rFonts w:ascii="Arial" w:hAnsi="Arial" w:cs="Arial"/>
          <w:sz w:val="22"/>
          <w:szCs w:val="22"/>
        </w:rPr>
        <w:t xml:space="preserve">ew licensing </w:t>
      </w:r>
      <w:r w:rsidRPr="009662EB">
        <w:rPr>
          <w:rFonts w:ascii="Arial" w:hAnsi="Arial" w:cs="Arial"/>
          <w:sz w:val="22"/>
          <w:szCs w:val="22"/>
        </w:rPr>
        <w:t>programme that</w:t>
      </w:r>
      <w:r w:rsidR="00712EEC" w:rsidRPr="009662EB">
        <w:rPr>
          <w:rFonts w:ascii="Arial" w:hAnsi="Arial" w:cs="Arial"/>
          <w:sz w:val="22"/>
          <w:szCs w:val="22"/>
        </w:rPr>
        <w:t xml:space="preserve"> includes two elements:</w:t>
      </w:r>
    </w:p>
    <w:p w:rsidR="00712EEC" w:rsidRPr="009662EB" w:rsidRDefault="00712EEC" w:rsidP="00886479">
      <w:pPr>
        <w:jc w:val="both"/>
        <w:rPr>
          <w:rFonts w:ascii="Arial" w:hAnsi="Arial" w:cs="Arial"/>
          <w:sz w:val="22"/>
          <w:szCs w:val="22"/>
        </w:rPr>
      </w:pPr>
    </w:p>
    <w:p w:rsidR="00712EEC" w:rsidRPr="009662EB" w:rsidRDefault="00712EEC" w:rsidP="0088647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Digital transformation</w:t>
      </w:r>
    </w:p>
    <w:p w:rsidR="008F21F6" w:rsidRPr="009662EB" w:rsidRDefault="008F21F6" w:rsidP="008F21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Environmental permitting</w:t>
      </w:r>
    </w:p>
    <w:p w:rsidR="008F21F6" w:rsidRPr="009662EB" w:rsidRDefault="008F21F6" w:rsidP="008F21F6">
      <w:pPr>
        <w:jc w:val="both"/>
        <w:rPr>
          <w:rFonts w:ascii="Arial" w:hAnsi="Arial" w:cs="Arial"/>
          <w:sz w:val="22"/>
          <w:szCs w:val="22"/>
        </w:rPr>
      </w:pPr>
    </w:p>
    <w:p w:rsidR="008F21F6" w:rsidRPr="009662EB" w:rsidRDefault="008F21F6" w:rsidP="008F21F6">
      <w:pPr>
        <w:jc w:val="both"/>
        <w:rPr>
          <w:rFonts w:ascii="Arial" w:hAnsi="Arial" w:cs="Arial"/>
          <w:b/>
          <w:sz w:val="22"/>
          <w:szCs w:val="22"/>
        </w:rPr>
      </w:pPr>
      <w:r w:rsidRPr="009662EB">
        <w:rPr>
          <w:rFonts w:ascii="Arial" w:hAnsi="Arial" w:cs="Arial"/>
          <w:b/>
          <w:sz w:val="22"/>
          <w:szCs w:val="22"/>
        </w:rPr>
        <w:t>Digital transformation</w:t>
      </w:r>
    </w:p>
    <w:p w:rsidR="004C7BFB" w:rsidRPr="009662EB" w:rsidRDefault="004C7BFB" w:rsidP="008F21F6">
      <w:pPr>
        <w:jc w:val="both"/>
        <w:rPr>
          <w:rFonts w:ascii="Arial" w:hAnsi="Arial" w:cs="Arial"/>
          <w:sz w:val="22"/>
          <w:szCs w:val="22"/>
        </w:rPr>
      </w:pPr>
    </w:p>
    <w:p w:rsidR="00637B2B" w:rsidRDefault="00491D31" w:rsidP="008F21F6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The </w:t>
      </w:r>
      <w:r w:rsidR="00637B2B">
        <w:rPr>
          <w:rFonts w:ascii="Arial" w:hAnsi="Arial" w:cs="Arial"/>
          <w:sz w:val="22"/>
          <w:szCs w:val="22"/>
        </w:rPr>
        <w:t>plan proposes a</w:t>
      </w:r>
      <w:r w:rsidR="008E0244" w:rsidRPr="009662EB">
        <w:rPr>
          <w:rFonts w:ascii="Arial" w:hAnsi="Arial" w:cs="Arial"/>
          <w:sz w:val="22"/>
          <w:szCs w:val="22"/>
        </w:rPr>
        <w:t xml:space="preserve"> move</w:t>
      </w:r>
      <w:r w:rsidR="00712EEC" w:rsidRPr="009662EB">
        <w:rPr>
          <w:rFonts w:ascii="Arial" w:hAnsi="Arial" w:cs="Arial"/>
          <w:sz w:val="22"/>
          <w:szCs w:val="22"/>
        </w:rPr>
        <w:t xml:space="preserve"> from paper to </w:t>
      </w:r>
      <w:r w:rsidR="00F078C6">
        <w:rPr>
          <w:rFonts w:ascii="Arial" w:hAnsi="Arial" w:cs="Arial"/>
          <w:sz w:val="22"/>
          <w:szCs w:val="22"/>
        </w:rPr>
        <w:t xml:space="preserve">more </w:t>
      </w:r>
      <w:r w:rsidR="00712EEC" w:rsidRPr="009662EB">
        <w:rPr>
          <w:rFonts w:ascii="Arial" w:hAnsi="Arial" w:cs="Arial"/>
          <w:sz w:val="22"/>
          <w:szCs w:val="22"/>
        </w:rPr>
        <w:t xml:space="preserve">web-based licensing information to, for example, help users to ‘view my licence’. </w:t>
      </w:r>
      <w:r w:rsidR="00637B2B">
        <w:rPr>
          <w:rFonts w:ascii="Arial" w:hAnsi="Arial" w:cs="Arial"/>
          <w:sz w:val="22"/>
          <w:szCs w:val="22"/>
        </w:rPr>
        <w:t>T</w:t>
      </w:r>
      <w:r w:rsidR="00712EEC" w:rsidRPr="009662EB">
        <w:rPr>
          <w:rFonts w:ascii="Arial" w:hAnsi="Arial" w:cs="Arial"/>
          <w:sz w:val="22"/>
          <w:szCs w:val="22"/>
        </w:rPr>
        <w:t xml:space="preserve">his </w:t>
      </w:r>
      <w:r w:rsidR="00637B2B">
        <w:rPr>
          <w:rFonts w:ascii="Arial" w:hAnsi="Arial" w:cs="Arial"/>
          <w:sz w:val="22"/>
          <w:szCs w:val="22"/>
        </w:rPr>
        <w:t>is seen as the cornerstone of the Agency’s</w:t>
      </w:r>
      <w:r w:rsidR="00712EEC" w:rsidRPr="009662EB">
        <w:rPr>
          <w:rFonts w:ascii="Arial" w:hAnsi="Arial" w:cs="Arial"/>
          <w:sz w:val="22"/>
          <w:szCs w:val="22"/>
        </w:rPr>
        <w:t xml:space="preserve"> modernisation </w:t>
      </w:r>
      <w:r w:rsidRPr="009662EB">
        <w:rPr>
          <w:rFonts w:ascii="Arial" w:hAnsi="Arial" w:cs="Arial"/>
          <w:sz w:val="22"/>
          <w:szCs w:val="22"/>
        </w:rPr>
        <w:t xml:space="preserve">programme for </w:t>
      </w:r>
      <w:r w:rsidR="00712EEC" w:rsidRPr="009662EB">
        <w:rPr>
          <w:rFonts w:ascii="Arial" w:hAnsi="Arial" w:cs="Arial"/>
          <w:sz w:val="22"/>
          <w:szCs w:val="22"/>
        </w:rPr>
        <w:t>water resource lic</w:t>
      </w:r>
      <w:r w:rsidR="008E0244" w:rsidRPr="009662EB">
        <w:rPr>
          <w:rFonts w:ascii="Arial" w:hAnsi="Arial" w:cs="Arial"/>
          <w:sz w:val="22"/>
          <w:szCs w:val="22"/>
        </w:rPr>
        <w:t>ensing because it will</w:t>
      </w:r>
      <w:r w:rsidR="00712EEC" w:rsidRPr="009662EB">
        <w:rPr>
          <w:rFonts w:ascii="Arial" w:hAnsi="Arial" w:cs="Arial"/>
          <w:sz w:val="22"/>
          <w:szCs w:val="22"/>
        </w:rPr>
        <w:t xml:space="preserve"> enable the collective management of licences. </w:t>
      </w:r>
    </w:p>
    <w:p w:rsidR="00637B2B" w:rsidRDefault="00637B2B" w:rsidP="008F21F6">
      <w:pPr>
        <w:jc w:val="both"/>
        <w:rPr>
          <w:rFonts w:ascii="Arial" w:hAnsi="Arial" w:cs="Arial"/>
          <w:sz w:val="22"/>
          <w:szCs w:val="22"/>
        </w:rPr>
      </w:pPr>
    </w:p>
    <w:p w:rsidR="00712EEC" w:rsidRPr="009662EB" w:rsidRDefault="00712EEC" w:rsidP="008F21F6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The NFU is already involved in the development of this programme</w:t>
      </w:r>
      <w:r w:rsidR="002C1BE5" w:rsidRPr="009662EB">
        <w:rPr>
          <w:rFonts w:ascii="Arial" w:hAnsi="Arial" w:cs="Arial"/>
          <w:sz w:val="22"/>
          <w:szCs w:val="22"/>
        </w:rPr>
        <w:t>.</w:t>
      </w:r>
    </w:p>
    <w:p w:rsidR="002C1BE5" w:rsidRPr="009662EB" w:rsidRDefault="002C1BE5" w:rsidP="00886479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2C1BE5" w:rsidRDefault="00000847" w:rsidP="008F21F6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The Agency</w:t>
      </w:r>
      <w:r w:rsidR="002C1BE5" w:rsidRPr="009662EB">
        <w:rPr>
          <w:rFonts w:ascii="Arial" w:hAnsi="Arial" w:cs="Arial"/>
          <w:sz w:val="22"/>
          <w:szCs w:val="22"/>
        </w:rPr>
        <w:t xml:space="preserve"> aims to roll out this programme for all licence holders by 2020. All existing licence rights will be left intact.</w:t>
      </w:r>
    </w:p>
    <w:p w:rsidR="00F078C6" w:rsidRDefault="00F078C6" w:rsidP="008F21F6">
      <w:pPr>
        <w:jc w:val="both"/>
        <w:rPr>
          <w:rFonts w:ascii="Arial" w:hAnsi="Arial" w:cs="Arial"/>
          <w:sz w:val="22"/>
          <w:szCs w:val="22"/>
        </w:rPr>
      </w:pPr>
    </w:p>
    <w:p w:rsidR="00F078C6" w:rsidRDefault="00F078C6" w:rsidP="008F2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modernised service will allow abstractors to:</w:t>
      </w:r>
    </w:p>
    <w:p w:rsidR="00F078C6" w:rsidRPr="00F078C6" w:rsidRDefault="00F078C6" w:rsidP="00F078C6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V</w:t>
      </w:r>
      <w:r w:rsidRPr="00F078C6">
        <w:rPr>
          <w:rFonts w:ascii="Arial" w:hAnsi="Arial" w:cs="Arial"/>
          <w:sz w:val="22"/>
          <w:szCs w:val="22"/>
          <w:lang w:val="en"/>
        </w:rPr>
        <w:t xml:space="preserve">iew, apply for, or amend </w:t>
      </w:r>
      <w:proofErr w:type="spellStart"/>
      <w:r w:rsidRPr="00F078C6">
        <w:rPr>
          <w:rFonts w:ascii="Arial" w:hAnsi="Arial" w:cs="Arial"/>
          <w:sz w:val="22"/>
          <w:szCs w:val="22"/>
          <w:lang w:val="en"/>
        </w:rPr>
        <w:t>licences</w:t>
      </w:r>
      <w:proofErr w:type="spellEnd"/>
      <w:r w:rsidRPr="00F078C6">
        <w:rPr>
          <w:rFonts w:ascii="Arial" w:hAnsi="Arial" w:cs="Arial"/>
          <w:sz w:val="22"/>
          <w:szCs w:val="22"/>
          <w:lang w:val="en"/>
        </w:rPr>
        <w:t xml:space="preserve"> online</w:t>
      </w:r>
    </w:p>
    <w:p w:rsidR="00F078C6" w:rsidRPr="00F078C6" w:rsidRDefault="00F078C6" w:rsidP="00F078C6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R</w:t>
      </w:r>
      <w:r w:rsidRPr="00F078C6">
        <w:rPr>
          <w:rFonts w:ascii="Arial" w:hAnsi="Arial" w:cs="Arial"/>
          <w:sz w:val="22"/>
          <w:szCs w:val="22"/>
          <w:lang w:val="en"/>
        </w:rPr>
        <w:t>eport water usage more simply</w:t>
      </w:r>
    </w:p>
    <w:p w:rsidR="00F078C6" w:rsidRPr="00F078C6" w:rsidRDefault="00F078C6" w:rsidP="00F078C6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lastRenderedPageBreak/>
        <w:t>A</w:t>
      </w:r>
      <w:r w:rsidRPr="00F078C6">
        <w:rPr>
          <w:rFonts w:ascii="Arial" w:hAnsi="Arial" w:cs="Arial"/>
          <w:sz w:val="22"/>
          <w:szCs w:val="22"/>
          <w:lang w:val="en"/>
        </w:rPr>
        <w:t>ccess up to date information on water availability to help manage abstraction more effectively providing better protection at low flows and allowing better access to high flows</w:t>
      </w:r>
    </w:p>
    <w:p w:rsidR="008F21F6" w:rsidRPr="009662EB" w:rsidRDefault="00712EEC" w:rsidP="008F21F6">
      <w:pPr>
        <w:jc w:val="both"/>
        <w:rPr>
          <w:rFonts w:ascii="Arial" w:hAnsi="Arial" w:cs="Arial"/>
          <w:b/>
          <w:sz w:val="22"/>
          <w:szCs w:val="22"/>
        </w:rPr>
      </w:pPr>
      <w:r w:rsidRPr="009662EB">
        <w:rPr>
          <w:rFonts w:ascii="Arial" w:hAnsi="Arial" w:cs="Arial"/>
          <w:b/>
          <w:sz w:val="22"/>
          <w:szCs w:val="22"/>
        </w:rPr>
        <w:t>Environmental permitting</w:t>
      </w:r>
    </w:p>
    <w:p w:rsidR="004C7BFB" w:rsidRPr="009662EB" w:rsidRDefault="004C7BFB" w:rsidP="008F21F6">
      <w:pPr>
        <w:jc w:val="both"/>
        <w:rPr>
          <w:rFonts w:ascii="Arial" w:hAnsi="Arial" w:cs="Arial"/>
          <w:sz w:val="22"/>
          <w:szCs w:val="22"/>
        </w:rPr>
      </w:pPr>
    </w:p>
    <w:p w:rsidR="00712EEC" w:rsidRPr="009662EB" w:rsidRDefault="00000847" w:rsidP="008F21F6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>Defra and the Environment Agency</w:t>
      </w:r>
      <w:r w:rsidR="00886479" w:rsidRPr="009662EB">
        <w:rPr>
          <w:rFonts w:ascii="Arial" w:hAnsi="Arial" w:cs="Arial"/>
          <w:sz w:val="22"/>
          <w:szCs w:val="22"/>
        </w:rPr>
        <w:t xml:space="preserve"> intend to bring abstraction licensing into the Environmental Permitting Regulations (EPR) alongside water quality, discharge consents, etc</w:t>
      </w:r>
      <w:r w:rsidR="003B27EE" w:rsidRPr="009662EB">
        <w:rPr>
          <w:rFonts w:ascii="Arial" w:hAnsi="Arial" w:cs="Arial"/>
          <w:sz w:val="22"/>
          <w:szCs w:val="22"/>
        </w:rPr>
        <w:t>. E</w:t>
      </w:r>
      <w:r w:rsidR="004518E2" w:rsidRPr="009662EB">
        <w:rPr>
          <w:rFonts w:ascii="Arial" w:hAnsi="Arial" w:cs="Arial"/>
          <w:sz w:val="22"/>
          <w:szCs w:val="22"/>
        </w:rPr>
        <w:t>PR proposals are described as b</w:t>
      </w:r>
      <w:r w:rsidR="003B27EE" w:rsidRPr="009662EB">
        <w:rPr>
          <w:rFonts w:ascii="Arial" w:hAnsi="Arial" w:cs="Arial"/>
          <w:sz w:val="22"/>
          <w:szCs w:val="22"/>
        </w:rPr>
        <w:t xml:space="preserve">eing relatively longer term, </w:t>
      </w:r>
      <w:r w:rsidR="004518E2" w:rsidRPr="009662EB">
        <w:rPr>
          <w:rFonts w:ascii="Arial" w:hAnsi="Arial" w:cs="Arial"/>
          <w:sz w:val="22"/>
          <w:szCs w:val="22"/>
        </w:rPr>
        <w:t xml:space="preserve">but any switch will have a potentially significant impact on irrigators, not least in the extent </w:t>
      </w:r>
      <w:r w:rsidR="00DC1B62" w:rsidRPr="009662EB">
        <w:rPr>
          <w:rFonts w:ascii="Arial" w:hAnsi="Arial" w:cs="Arial"/>
          <w:sz w:val="22"/>
          <w:szCs w:val="22"/>
        </w:rPr>
        <w:t>administration and charges.</w:t>
      </w:r>
    </w:p>
    <w:p w:rsidR="004518E2" w:rsidRPr="009662EB" w:rsidRDefault="004518E2" w:rsidP="00886479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9662EB" w:rsidRDefault="004518E2" w:rsidP="005863F5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Defra </w:t>
      </w:r>
      <w:r w:rsidR="00000847" w:rsidRPr="009662EB">
        <w:rPr>
          <w:rFonts w:ascii="Arial" w:hAnsi="Arial" w:cs="Arial"/>
          <w:sz w:val="22"/>
          <w:szCs w:val="22"/>
        </w:rPr>
        <w:t xml:space="preserve">has promised further a </w:t>
      </w:r>
      <w:r w:rsidRPr="009662EB">
        <w:rPr>
          <w:rFonts w:ascii="Arial" w:hAnsi="Arial" w:cs="Arial"/>
          <w:sz w:val="22"/>
          <w:szCs w:val="22"/>
        </w:rPr>
        <w:t>consultation</w:t>
      </w:r>
      <w:r w:rsidR="00000847" w:rsidRPr="009662EB">
        <w:rPr>
          <w:rFonts w:ascii="Arial" w:hAnsi="Arial" w:cs="Arial"/>
          <w:sz w:val="22"/>
          <w:szCs w:val="22"/>
        </w:rPr>
        <w:t>, possibly in 2019, on the introduction of EPR before it introduces</w:t>
      </w:r>
      <w:r w:rsidRPr="009662EB">
        <w:rPr>
          <w:rFonts w:ascii="Arial" w:hAnsi="Arial" w:cs="Arial"/>
          <w:sz w:val="22"/>
          <w:szCs w:val="22"/>
        </w:rPr>
        <w:t xml:space="preserve"> secondary legislation </w:t>
      </w:r>
      <w:r w:rsidR="00000847" w:rsidRPr="009662EB">
        <w:rPr>
          <w:rFonts w:ascii="Arial" w:hAnsi="Arial" w:cs="Arial"/>
          <w:sz w:val="22"/>
          <w:szCs w:val="22"/>
        </w:rPr>
        <w:t xml:space="preserve">to deliver it. </w:t>
      </w:r>
    </w:p>
    <w:p w:rsidR="00637B2B" w:rsidRDefault="00637B2B" w:rsidP="009662E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662EB" w:rsidRPr="009662EB" w:rsidRDefault="009662EB" w:rsidP="009662EB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 xml:space="preserve">You can read more here about the </w:t>
      </w:r>
      <w:hyperlink r:id="rId8" w:history="1">
        <w:r w:rsidRPr="009662EB">
          <w:rPr>
            <w:rStyle w:val="Hyperlink"/>
            <w:rFonts w:ascii="Arial" w:hAnsi="Arial" w:cs="Arial"/>
            <w:sz w:val="22"/>
            <w:szCs w:val="22"/>
          </w:rPr>
          <w:t>Defra</w:t>
        </w:r>
        <w:r w:rsidRPr="009662EB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662EB">
          <w:rPr>
            <w:rStyle w:val="Hyperlink"/>
            <w:rFonts w:ascii="Arial" w:hAnsi="Arial" w:cs="Arial"/>
            <w:sz w:val="22"/>
            <w:szCs w:val="22"/>
          </w:rPr>
          <w:t>water abstraction plan</w:t>
        </w:r>
      </w:hyperlink>
    </w:p>
    <w:p w:rsidR="00F3392F" w:rsidRPr="009662EB" w:rsidRDefault="00481C9F" w:rsidP="005863F5">
      <w:pPr>
        <w:jc w:val="both"/>
        <w:rPr>
          <w:rFonts w:ascii="Arial" w:hAnsi="Arial" w:cs="Arial"/>
          <w:sz w:val="22"/>
          <w:szCs w:val="22"/>
        </w:rPr>
      </w:pPr>
      <w:r w:rsidRPr="009662EB">
        <w:rPr>
          <w:rFonts w:ascii="Arial" w:hAnsi="Arial" w:cs="Arial"/>
          <w:sz w:val="22"/>
          <w:szCs w:val="22"/>
        </w:rPr>
        <w:tab/>
      </w:r>
    </w:p>
    <w:p w:rsidR="009662EB" w:rsidRPr="009662EB" w:rsidRDefault="009662EB">
      <w:pPr>
        <w:jc w:val="both"/>
        <w:rPr>
          <w:rFonts w:ascii="Arial" w:hAnsi="Arial" w:cs="Arial"/>
          <w:sz w:val="22"/>
          <w:szCs w:val="22"/>
        </w:rPr>
      </w:pPr>
    </w:p>
    <w:sectPr w:rsidR="009662EB" w:rsidRPr="009662EB" w:rsidSect="00E403FC">
      <w:headerReference w:type="default" r:id="rId9"/>
      <w:footerReference w:type="default" r:id="rId10"/>
      <w:pgSz w:w="11906" w:h="16838"/>
      <w:pgMar w:top="1440" w:right="924" w:bottom="1077" w:left="902" w:header="539" w:footer="81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4A" w:rsidRDefault="0095694A">
      <w:r>
        <w:separator/>
      </w:r>
    </w:p>
  </w:endnote>
  <w:endnote w:type="continuationSeparator" w:id="0">
    <w:p w:rsidR="0095694A" w:rsidRDefault="0095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9F" w:rsidRPr="00481C9F" w:rsidRDefault="00425749" w:rsidP="00481C9F">
    <w:pPr>
      <w:pStyle w:val="Footer"/>
      <w:spacing w:before="10" w:after="10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20955</wp:posOffset>
              </wp:positionV>
              <wp:extent cx="3200400" cy="342900"/>
              <wp:effectExtent l="1270" t="1905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27" w:rsidRPr="007D1227" w:rsidRDefault="007D1227">
                          <w:pPr>
                            <w:rPr>
                              <w:rFonts w:ascii="Arial" w:hAnsi="Arial" w:cs="Arial"/>
                              <w:color w:val="016938"/>
                              <w:sz w:val="28"/>
                              <w:szCs w:val="28"/>
                            </w:rPr>
                          </w:pPr>
                          <w:r w:rsidRPr="007D1227">
                            <w:rPr>
                              <w:rFonts w:ascii="Arial" w:hAnsi="Arial" w:cs="Arial"/>
                              <w:color w:val="016938"/>
                              <w:sz w:val="28"/>
                              <w:szCs w:val="28"/>
                            </w:rPr>
                            <w:t>The voice of British farming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21pt;margin-top:1.65pt;width:25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Fj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" filled="f" stroked="f">
              <v:textbox>
                <w:txbxContent>
                  <w:p w:rsidR="007D1227" w:rsidRPr="007D1227" w:rsidRDefault="007D1227">
                    <w:pPr>
                      <w:rPr>
                        <w:rFonts w:ascii="Arial" w:hAnsi="Arial" w:cs="Arial"/>
                        <w:color w:val="016938"/>
                        <w:sz w:val="28"/>
                        <w:szCs w:val="28"/>
                      </w:rPr>
                    </w:pPr>
                    <w:r w:rsidRPr="007D1227">
                      <w:rPr>
                        <w:rFonts w:ascii="Arial" w:hAnsi="Arial" w:cs="Arial"/>
                        <w:color w:val="016938"/>
                        <w:sz w:val="28"/>
                        <w:szCs w:val="28"/>
                      </w:rPr>
                      <w:t>The voice of British farming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3143250</wp:posOffset>
          </wp:positionH>
          <wp:positionV relativeFrom="paragraph">
            <wp:posOffset>141605</wp:posOffset>
          </wp:positionV>
          <wp:extent cx="3371850" cy="504825"/>
          <wp:effectExtent l="0" t="0" r="0" b="9525"/>
          <wp:wrapNone/>
          <wp:docPr id="23" name="Picture 23" descr="C:\Users\gbower\Documents\Gemma\NFU Mu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gbower\Documents\Gemma\NFU Mu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</wp:posOffset>
              </wp:positionV>
              <wp:extent cx="6515100" cy="0"/>
              <wp:effectExtent l="9525" t="5715" r="9525" b="133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169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pt" to="513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82FA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" strokecolor="#016938"/>
          </w:pict>
        </mc:Fallback>
      </mc:AlternateContent>
    </w:r>
  </w:p>
  <w:p w:rsidR="00481C9F" w:rsidRDefault="00425749" w:rsidP="00B65419">
    <w:pPr>
      <w:tabs>
        <w:tab w:val="left" w:pos="76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175895</wp:posOffset>
              </wp:positionV>
              <wp:extent cx="3200400" cy="475615"/>
              <wp:effectExtent l="1270" t="1905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D6F" w:rsidRDefault="00E50D6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50D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Although every effort has been made to ensure accuracy, neither the NFU nor the author can accept liability for errors and or omissions. © NFU</w:t>
                          </w:r>
                        </w:p>
                        <w:p w:rsidR="002E5F09" w:rsidRPr="00E50D6F" w:rsidRDefault="002E5F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-21pt;margin-top:13.85pt;width:252pt;height: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q7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" filled="f" stroked="f">
              <v:textbox>
                <w:txbxContent>
                  <w:p w:rsidR="00E50D6F" w:rsidRDefault="00E50D6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50D6F">
                      <w:rPr>
                        <w:rFonts w:ascii="Arial" w:hAnsi="Arial" w:cs="Arial"/>
                        <w:sz w:val="14"/>
                        <w:szCs w:val="14"/>
                      </w:rPr>
                      <w:t>Although every effort has been made to ensure accuracy, neither the NFU nor the author can accept liability for errors and or omissions. © NFU</w:t>
                    </w:r>
                  </w:p>
                  <w:p w:rsidR="002E5F09" w:rsidRPr="00E50D6F" w:rsidRDefault="002E5F09"/>
                </w:txbxContent>
              </v:textbox>
            </v:shape>
          </w:pict>
        </mc:Fallback>
      </mc:AlternateContent>
    </w:r>
    <w:r w:rsidR="00B6541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4A" w:rsidRDefault="0095694A">
      <w:r>
        <w:separator/>
      </w:r>
    </w:p>
  </w:footnote>
  <w:footnote w:type="continuationSeparator" w:id="0">
    <w:p w:rsidR="0095694A" w:rsidRDefault="00956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9F" w:rsidRPr="00B65419" w:rsidRDefault="00425749" w:rsidP="004F7A51">
    <w:pPr>
      <w:pStyle w:val="Header"/>
      <w:jc w:val="right"/>
      <w:rPr>
        <w:rFonts w:ascii="Arial" w:hAnsi="Arial" w:cs="Arial"/>
        <w:color w:val="016938"/>
        <w:sz w:val="44"/>
        <w:szCs w:val="44"/>
      </w:rPr>
    </w:pPr>
    <w:r>
      <w:rPr>
        <w:rFonts w:ascii="Arial" w:hAnsi="Arial" w:cs="Arial"/>
        <w:noProof/>
        <w:color w:val="008535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114300</wp:posOffset>
              </wp:positionV>
              <wp:extent cx="1028700" cy="342900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27" w:rsidRPr="003747EF" w:rsidRDefault="00C35D07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535"/>
                              <w:sz w:val="22"/>
                              <w:szCs w:val="22"/>
                            </w:rPr>
                            <w:t xml:space="preserve"> </w:t>
                          </w:r>
                          <w:r w:rsidR="003747EF">
                            <w:rPr>
                              <w:rFonts w:ascii="Arial" w:hAnsi="Arial" w:cs="Arial"/>
                              <w:color w:val="008535"/>
                              <w:sz w:val="22"/>
                              <w:szCs w:val="22"/>
                            </w:rPr>
                            <w:t xml:space="preserve">Page </w:t>
                          </w:r>
                          <w:r w:rsidR="003747EF" w:rsidRPr="003747EF">
                            <w:rPr>
                              <w:rStyle w:val="PageNumber"/>
                              <w:rFonts w:ascii="Arial" w:hAnsi="Arial" w:cs="Arial"/>
                              <w:color w:val="016938"/>
                              <w:sz w:val="22"/>
                              <w:szCs w:val="22"/>
                            </w:rPr>
                            <w:fldChar w:fldCharType="begin"/>
                          </w:r>
                          <w:r w:rsidR="003747EF" w:rsidRPr="003747EF">
                            <w:rPr>
                              <w:rStyle w:val="PageNumber"/>
                              <w:rFonts w:ascii="Arial" w:hAnsi="Arial" w:cs="Arial"/>
                              <w:color w:val="016938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3747EF" w:rsidRPr="003747EF">
                            <w:rPr>
                              <w:rStyle w:val="PageNumber"/>
                              <w:rFonts w:ascii="Arial" w:hAnsi="Arial" w:cs="Arial"/>
                              <w:color w:val="016938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96BEC">
                            <w:rPr>
                              <w:rStyle w:val="PageNumber"/>
                              <w:rFonts w:ascii="Arial" w:hAnsi="Arial" w:cs="Arial"/>
                              <w:noProof/>
                              <w:color w:val="016938"/>
                              <w:sz w:val="22"/>
                              <w:szCs w:val="22"/>
                            </w:rPr>
                            <w:t>4</w:t>
                          </w:r>
                          <w:r w:rsidR="003747EF" w:rsidRPr="003747EF">
                            <w:rPr>
                              <w:rStyle w:val="PageNumber"/>
                              <w:rFonts w:ascii="Arial" w:hAnsi="Arial" w:cs="Arial"/>
                              <w:color w:val="016938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9pt;margin-top:9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HD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" filled="f" stroked="f">
              <v:textbox>
                <w:txbxContent>
                  <w:p w:rsidR="007D1227" w:rsidRPr="003747EF" w:rsidRDefault="00C35D07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8535"/>
                        <w:sz w:val="22"/>
                        <w:szCs w:val="22"/>
                      </w:rPr>
                      <w:t xml:space="preserve"> </w:t>
                    </w:r>
                    <w:r w:rsidR="003747EF">
                      <w:rPr>
                        <w:rFonts w:ascii="Arial" w:hAnsi="Arial" w:cs="Arial"/>
                        <w:color w:val="008535"/>
                        <w:sz w:val="22"/>
                        <w:szCs w:val="22"/>
                      </w:rPr>
                      <w:t xml:space="preserve">Page </w:t>
                    </w:r>
                    <w:r w:rsidR="003747EF" w:rsidRPr="003747EF">
                      <w:rPr>
                        <w:rStyle w:val="PageNumber"/>
                        <w:rFonts w:ascii="Arial" w:hAnsi="Arial" w:cs="Arial"/>
                        <w:color w:val="016938"/>
                        <w:sz w:val="22"/>
                        <w:szCs w:val="22"/>
                      </w:rPr>
                      <w:fldChar w:fldCharType="begin"/>
                    </w:r>
                    <w:r w:rsidR="003747EF" w:rsidRPr="003747EF">
                      <w:rPr>
                        <w:rStyle w:val="PageNumber"/>
                        <w:rFonts w:ascii="Arial" w:hAnsi="Arial" w:cs="Arial"/>
                        <w:color w:val="016938"/>
                        <w:sz w:val="22"/>
                        <w:szCs w:val="22"/>
                      </w:rPr>
                      <w:instrText xml:space="preserve"> PAGE </w:instrText>
                    </w:r>
                    <w:r w:rsidR="003747EF" w:rsidRPr="003747EF">
                      <w:rPr>
                        <w:rStyle w:val="PageNumber"/>
                        <w:rFonts w:ascii="Arial" w:hAnsi="Arial" w:cs="Arial"/>
                        <w:color w:val="016938"/>
                        <w:sz w:val="22"/>
                        <w:szCs w:val="22"/>
                      </w:rPr>
                      <w:fldChar w:fldCharType="separate"/>
                    </w:r>
                    <w:r w:rsidR="00A96BEC">
                      <w:rPr>
                        <w:rStyle w:val="PageNumber"/>
                        <w:rFonts w:ascii="Arial" w:hAnsi="Arial" w:cs="Arial"/>
                        <w:noProof/>
                        <w:color w:val="016938"/>
                        <w:sz w:val="22"/>
                        <w:szCs w:val="22"/>
                      </w:rPr>
                      <w:t>4</w:t>
                    </w:r>
                    <w:r w:rsidR="003747EF" w:rsidRPr="003747EF">
                      <w:rPr>
                        <w:rStyle w:val="PageNumber"/>
                        <w:rFonts w:ascii="Arial" w:hAnsi="Arial" w:cs="Arial"/>
                        <w:color w:val="016938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81C9F">
      <w:rPr>
        <w:rFonts w:ascii="Arial" w:hAnsi="Arial" w:cs="Arial"/>
        <w:color w:val="008535"/>
        <w:sz w:val="40"/>
        <w:szCs w:val="40"/>
      </w:rPr>
      <w:tab/>
    </w:r>
    <w:r w:rsidR="00481C9F">
      <w:rPr>
        <w:rFonts w:ascii="Arial" w:hAnsi="Arial" w:cs="Arial"/>
        <w:color w:val="008535"/>
        <w:sz w:val="40"/>
        <w:szCs w:val="40"/>
      </w:rPr>
      <w:tab/>
    </w:r>
    <w:r w:rsidR="00481C9F" w:rsidRPr="00B65419">
      <w:rPr>
        <w:rFonts w:ascii="Arial" w:hAnsi="Arial" w:cs="Arial"/>
        <w:color w:val="016938"/>
        <w:sz w:val="44"/>
        <w:szCs w:val="44"/>
      </w:rPr>
      <w:t xml:space="preserve">NFU </w:t>
    </w:r>
    <w:r w:rsidR="005678C1">
      <w:rPr>
        <w:rFonts w:ascii="Arial" w:hAnsi="Arial" w:cs="Arial"/>
        <w:color w:val="016938"/>
        <w:sz w:val="44"/>
        <w:szCs w:val="44"/>
      </w:rPr>
      <w:t>Briefing</w:t>
    </w:r>
  </w:p>
  <w:p w:rsidR="00481C9F" w:rsidRDefault="00425749">
    <w:pPr>
      <w:pStyle w:val="Header"/>
    </w:pPr>
    <w:r>
      <w:rPr>
        <w:rFonts w:ascii="Arial" w:hAnsi="Arial" w:cs="Arial"/>
        <w:noProof/>
        <w:color w:val="008535"/>
        <w:sz w:val="40"/>
        <w:szCs w:val="4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6400800" cy="0"/>
              <wp:effectExtent l="9525" t="12700" r="952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169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7in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" strokecolor="#01693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CEE"/>
    <w:multiLevelType w:val="hybridMultilevel"/>
    <w:tmpl w:val="C9AC8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7697"/>
    <w:multiLevelType w:val="hybridMultilevel"/>
    <w:tmpl w:val="F27C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218"/>
    <w:multiLevelType w:val="hybridMultilevel"/>
    <w:tmpl w:val="C262A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87E73"/>
    <w:multiLevelType w:val="multilevel"/>
    <w:tmpl w:val="9ACC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60312"/>
    <w:multiLevelType w:val="multilevel"/>
    <w:tmpl w:val="DDE4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364C6"/>
    <w:multiLevelType w:val="multilevel"/>
    <w:tmpl w:val="8924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42D48"/>
    <w:multiLevelType w:val="hybridMultilevel"/>
    <w:tmpl w:val="BC1E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7164A"/>
    <w:multiLevelType w:val="hybridMultilevel"/>
    <w:tmpl w:val="81F6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>
      <o:colormru v:ext="edit" colors="#1d5a1e,#01693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28"/>
    <w:rsid w:val="00000847"/>
    <w:rsid w:val="000438BE"/>
    <w:rsid w:val="00067B28"/>
    <w:rsid w:val="0008691B"/>
    <w:rsid w:val="000D2040"/>
    <w:rsid w:val="000D6092"/>
    <w:rsid w:val="000D6161"/>
    <w:rsid w:val="000E2595"/>
    <w:rsid w:val="00125302"/>
    <w:rsid w:val="00130B24"/>
    <w:rsid w:val="00175720"/>
    <w:rsid w:val="0018056D"/>
    <w:rsid w:val="00190E7F"/>
    <w:rsid w:val="00197B4F"/>
    <w:rsid w:val="001C0C11"/>
    <w:rsid w:val="001C7D5B"/>
    <w:rsid w:val="001E7379"/>
    <w:rsid w:val="0022056E"/>
    <w:rsid w:val="0023019E"/>
    <w:rsid w:val="00246259"/>
    <w:rsid w:val="00273F46"/>
    <w:rsid w:val="00281523"/>
    <w:rsid w:val="002817B0"/>
    <w:rsid w:val="002C1BE5"/>
    <w:rsid w:val="002E2605"/>
    <w:rsid w:val="002E31A8"/>
    <w:rsid w:val="002E5F09"/>
    <w:rsid w:val="00306624"/>
    <w:rsid w:val="00311EFB"/>
    <w:rsid w:val="00327133"/>
    <w:rsid w:val="00370A46"/>
    <w:rsid w:val="00372DAE"/>
    <w:rsid w:val="003747EF"/>
    <w:rsid w:val="00397297"/>
    <w:rsid w:val="00397CB5"/>
    <w:rsid w:val="003B1FCD"/>
    <w:rsid w:val="003B27EE"/>
    <w:rsid w:val="003C1D49"/>
    <w:rsid w:val="004018B8"/>
    <w:rsid w:val="00425749"/>
    <w:rsid w:val="00433C55"/>
    <w:rsid w:val="004518E2"/>
    <w:rsid w:val="004643F4"/>
    <w:rsid w:val="00481C9F"/>
    <w:rsid w:val="00485608"/>
    <w:rsid w:val="00491D31"/>
    <w:rsid w:val="004B5E2F"/>
    <w:rsid w:val="004C7BFB"/>
    <w:rsid w:val="004F7A51"/>
    <w:rsid w:val="00507CFF"/>
    <w:rsid w:val="0051333B"/>
    <w:rsid w:val="00521CD7"/>
    <w:rsid w:val="0054535B"/>
    <w:rsid w:val="005678C1"/>
    <w:rsid w:val="005772EB"/>
    <w:rsid w:val="00585CE3"/>
    <w:rsid w:val="005863F5"/>
    <w:rsid w:val="00586737"/>
    <w:rsid w:val="00637B2B"/>
    <w:rsid w:val="006414B4"/>
    <w:rsid w:val="0064786D"/>
    <w:rsid w:val="006D5BFE"/>
    <w:rsid w:val="006D6C09"/>
    <w:rsid w:val="00712EEC"/>
    <w:rsid w:val="0073673E"/>
    <w:rsid w:val="00736F9B"/>
    <w:rsid w:val="00745717"/>
    <w:rsid w:val="00747EEE"/>
    <w:rsid w:val="0075120B"/>
    <w:rsid w:val="0076022C"/>
    <w:rsid w:val="00760AB8"/>
    <w:rsid w:val="007703F5"/>
    <w:rsid w:val="007A0428"/>
    <w:rsid w:val="007C09D0"/>
    <w:rsid w:val="007D1227"/>
    <w:rsid w:val="00846094"/>
    <w:rsid w:val="008468A8"/>
    <w:rsid w:val="00886479"/>
    <w:rsid w:val="008920E1"/>
    <w:rsid w:val="008C171A"/>
    <w:rsid w:val="008D156F"/>
    <w:rsid w:val="008E0244"/>
    <w:rsid w:val="008F21F6"/>
    <w:rsid w:val="00907A4D"/>
    <w:rsid w:val="0095694A"/>
    <w:rsid w:val="009662EB"/>
    <w:rsid w:val="0096723D"/>
    <w:rsid w:val="00986001"/>
    <w:rsid w:val="009B6F55"/>
    <w:rsid w:val="009E6BE7"/>
    <w:rsid w:val="009F09E3"/>
    <w:rsid w:val="00A0176E"/>
    <w:rsid w:val="00A346E0"/>
    <w:rsid w:val="00A36929"/>
    <w:rsid w:val="00A653E4"/>
    <w:rsid w:val="00A96BEC"/>
    <w:rsid w:val="00B65419"/>
    <w:rsid w:val="00B730FB"/>
    <w:rsid w:val="00B93B76"/>
    <w:rsid w:val="00B950F4"/>
    <w:rsid w:val="00BD057D"/>
    <w:rsid w:val="00BD586A"/>
    <w:rsid w:val="00C35D07"/>
    <w:rsid w:val="00C719E7"/>
    <w:rsid w:val="00CC6798"/>
    <w:rsid w:val="00CE18AA"/>
    <w:rsid w:val="00D06A7E"/>
    <w:rsid w:val="00D21FC3"/>
    <w:rsid w:val="00D2309C"/>
    <w:rsid w:val="00D44576"/>
    <w:rsid w:val="00D56C2B"/>
    <w:rsid w:val="00D63339"/>
    <w:rsid w:val="00D9549E"/>
    <w:rsid w:val="00D95711"/>
    <w:rsid w:val="00DC1B62"/>
    <w:rsid w:val="00DD369A"/>
    <w:rsid w:val="00E00698"/>
    <w:rsid w:val="00E26B0E"/>
    <w:rsid w:val="00E403FC"/>
    <w:rsid w:val="00E404C8"/>
    <w:rsid w:val="00E50D6F"/>
    <w:rsid w:val="00E56DD6"/>
    <w:rsid w:val="00EB089A"/>
    <w:rsid w:val="00EF280B"/>
    <w:rsid w:val="00F078C6"/>
    <w:rsid w:val="00F14819"/>
    <w:rsid w:val="00F226E6"/>
    <w:rsid w:val="00F238A4"/>
    <w:rsid w:val="00F3392F"/>
    <w:rsid w:val="00F706D7"/>
    <w:rsid w:val="00F859AB"/>
    <w:rsid w:val="00FA682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1d5a1e,#01693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C9F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26B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C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C9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81C9F"/>
  </w:style>
  <w:style w:type="paragraph" w:styleId="ListParagraph">
    <w:name w:val="List Paragraph"/>
    <w:basedOn w:val="Normal"/>
    <w:uiPriority w:val="34"/>
    <w:qFormat/>
    <w:rsid w:val="00907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0A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70A46"/>
    <w:rPr>
      <w:color w:val="0000FF"/>
      <w:u w:val="single"/>
    </w:rPr>
  </w:style>
  <w:style w:type="character" w:styleId="FollowedHyperlink">
    <w:name w:val="FollowedHyperlink"/>
    <w:basedOn w:val="DefaultParagraphFont"/>
    <w:rsid w:val="009662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6B0E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C9F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26B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C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C9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81C9F"/>
  </w:style>
  <w:style w:type="paragraph" w:styleId="ListParagraph">
    <w:name w:val="List Paragraph"/>
    <w:basedOn w:val="Normal"/>
    <w:uiPriority w:val="34"/>
    <w:qFormat/>
    <w:rsid w:val="00907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0A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70A46"/>
    <w:rPr>
      <w:color w:val="0000FF"/>
      <w:u w:val="single"/>
    </w:rPr>
  </w:style>
  <w:style w:type="character" w:styleId="FollowedHyperlink">
    <w:name w:val="FollowedHyperlink"/>
    <w:basedOn w:val="DefaultParagraphFont"/>
    <w:rsid w:val="009662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6B0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6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water-abstraction-plan-2017/water-abstraction-pl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ammett\AppData\Roaming\Microsoft\Templates\NFU%20Brief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NFU Briefing</Template>
  <TotalTime>114</TotalTime>
  <Pages>4</Pages>
  <Words>1350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NFU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Paul Hammett</dc:creator>
  <cp:lastModifiedBy>Paul Hammett</cp:lastModifiedBy>
  <cp:revision>19</cp:revision>
  <cp:lastPrinted>2017-12-05T12:30:00Z</cp:lastPrinted>
  <dcterms:created xsi:type="dcterms:W3CDTF">2017-12-15T13:34:00Z</dcterms:created>
  <dcterms:modified xsi:type="dcterms:W3CDTF">2017-12-15T15:55:00Z</dcterms:modified>
</cp:coreProperties>
</file>