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41DA8" w14:textId="77777777" w:rsidR="00BC19B7" w:rsidRDefault="00A454D7">
      <w:bookmarkStart w:id="0" w:name="_GoBack"/>
      <w:bookmarkEnd w:id="0"/>
      <w:r>
        <w:t>30</w:t>
      </w:r>
      <w:r w:rsidR="00FB3DA8">
        <w:t xml:space="preserve"> July 2019</w:t>
      </w:r>
    </w:p>
    <w:p w14:paraId="0D128948" w14:textId="77777777" w:rsidR="002E00DE" w:rsidRDefault="002E00DE">
      <w:r>
        <w:t xml:space="preserve">FOR </w:t>
      </w:r>
      <w:r w:rsidR="00FB3DA8">
        <w:t>IMMEDIATE</w:t>
      </w:r>
      <w:r>
        <w:t xml:space="preserve"> RELEASE </w:t>
      </w:r>
    </w:p>
    <w:p w14:paraId="1B293B11" w14:textId="77777777" w:rsidR="00E76E33" w:rsidRPr="00E76E33" w:rsidRDefault="00FB3DA8">
      <w:pPr>
        <w:rPr>
          <w:sz w:val="40"/>
          <w:szCs w:val="40"/>
        </w:rPr>
      </w:pPr>
      <w:r>
        <w:rPr>
          <w:sz w:val="40"/>
          <w:szCs w:val="40"/>
        </w:rPr>
        <w:t>Metaldehyde slug pellet ban overturned</w:t>
      </w:r>
      <w:r w:rsidR="00F36267">
        <w:rPr>
          <w:sz w:val="40"/>
          <w:szCs w:val="40"/>
        </w:rPr>
        <w:t xml:space="preserve"> following legal challenge</w:t>
      </w:r>
    </w:p>
    <w:p w14:paraId="17CBBF97" w14:textId="77777777" w:rsidR="00E55717" w:rsidRDefault="00FB3DA8">
      <w:r>
        <w:t xml:space="preserve">In an unprecedented </w:t>
      </w:r>
      <w:r w:rsidR="00A92A7F">
        <w:t>move</w:t>
      </w:r>
      <w:r>
        <w:t xml:space="preserve">, the </w:t>
      </w:r>
      <w:r w:rsidR="00F36267">
        <w:t xml:space="preserve">decision by the former </w:t>
      </w:r>
      <w:r w:rsidR="00E55717">
        <w:t>Secretary of State</w:t>
      </w:r>
      <w:r w:rsidR="00F36267">
        <w:t xml:space="preserve"> for the Environment</w:t>
      </w:r>
      <w:r w:rsidR="00E55717">
        <w:t xml:space="preserve"> to ban metaldehyde slug pellet products</w:t>
      </w:r>
      <w:r>
        <w:t xml:space="preserve"> has been </w:t>
      </w:r>
      <w:r w:rsidR="00D27943">
        <w:t xml:space="preserve">declared </w:t>
      </w:r>
      <w:r>
        <w:t xml:space="preserve">unlawful. </w:t>
      </w:r>
    </w:p>
    <w:p w14:paraId="7E81B11C" w14:textId="77777777" w:rsidR="00114909" w:rsidRDefault="00A454D7" w:rsidP="001A2B25">
      <w:r>
        <w:t>The</w:t>
      </w:r>
      <w:r w:rsidR="00A92A7F">
        <w:t xml:space="preserve"> </w:t>
      </w:r>
      <w:r w:rsidR="001A2B25">
        <w:t>High Court</w:t>
      </w:r>
      <w:r>
        <w:t xml:space="preserve"> has approved an</w:t>
      </w:r>
      <w:r w:rsidR="001A2B25">
        <w:t xml:space="preserve"> </w:t>
      </w:r>
      <w:r w:rsidR="00D27943">
        <w:t>order</w:t>
      </w:r>
      <w:r w:rsidR="00A92A7F">
        <w:t>,</w:t>
      </w:r>
      <w:r w:rsidR="001A2B25">
        <w:t xml:space="preserve"> </w:t>
      </w:r>
      <w:r w:rsidR="007F19BE">
        <w:t xml:space="preserve">agreed </w:t>
      </w:r>
      <w:r w:rsidR="001A2B25">
        <w:t xml:space="preserve">this week by the </w:t>
      </w:r>
      <w:r w:rsidR="00A92A7F">
        <w:t xml:space="preserve">company that’s challenged the legality of </w:t>
      </w:r>
      <w:r w:rsidR="00F36267">
        <w:t>the ban</w:t>
      </w:r>
      <w:r w:rsidR="00A92A7F">
        <w:t xml:space="preserve">, </w:t>
      </w:r>
      <w:r>
        <w:t xml:space="preserve">that </w:t>
      </w:r>
      <w:r w:rsidR="00D06C5A">
        <w:t xml:space="preserve">formally </w:t>
      </w:r>
      <w:r w:rsidR="00EB6443">
        <w:t xml:space="preserve">overturns </w:t>
      </w:r>
      <w:r w:rsidR="00D06C5A">
        <w:t xml:space="preserve">the </w:t>
      </w:r>
      <w:r w:rsidR="00D06C5A" w:rsidRPr="001A2B25">
        <w:t>December 2018</w:t>
      </w:r>
      <w:r w:rsidR="00D06C5A">
        <w:t xml:space="preserve"> </w:t>
      </w:r>
      <w:r w:rsidR="00114909">
        <w:t xml:space="preserve">Defra </w:t>
      </w:r>
      <w:r w:rsidR="002B1133">
        <w:t>ruling</w:t>
      </w:r>
      <w:r w:rsidR="00D06C5A">
        <w:t xml:space="preserve"> to withdraw all products containing metaldehyde</w:t>
      </w:r>
      <w:r w:rsidR="00E26B6E">
        <w:t>, with immediate effect</w:t>
      </w:r>
      <w:r w:rsidR="00114909">
        <w:t>.</w:t>
      </w:r>
    </w:p>
    <w:p w14:paraId="50747449" w14:textId="77777777" w:rsidR="000C03A4" w:rsidRDefault="00CF3315" w:rsidP="001A2B25">
      <w:r>
        <w:t>“Metaldehyde is back on the market</w:t>
      </w:r>
      <w:r w:rsidR="00681F8D">
        <w:t xml:space="preserve"> and we’</w:t>
      </w:r>
      <w:r w:rsidR="00180C7B">
        <w:t>ve reverted</w:t>
      </w:r>
      <w:r w:rsidR="00681F8D">
        <w:t xml:space="preserve"> to where we were </w:t>
      </w:r>
      <w:r w:rsidR="00F36267">
        <w:t>eight</w:t>
      </w:r>
      <w:r w:rsidR="00681F8D">
        <w:t xml:space="preserve"> months ago</w:t>
      </w:r>
      <w:r>
        <w:t xml:space="preserve">,” </w:t>
      </w:r>
      <w:r w:rsidR="00114909">
        <w:t>confirms</w:t>
      </w:r>
      <w:r>
        <w:t xml:space="preserve"> Philip Tavener of Chiltern Farm Chemicals</w:t>
      </w:r>
      <w:r w:rsidR="00114909" w:rsidRPr="00114909">
        <w:t xml:space="preserve"> </w:t>
      </w:r>
      <w:r w:rsidR="00114909">
        <w:t xml:space="preserve">who </w:t>
      </w:r>
      <w:r w:rsidR="002B1133">
        <w:t>took the legal action to bring</w:t>
      </w:r>
      <w:r w:rsidR="00681F8D">
        <w:t xml:space="preserve"> Michael Gove’s </w:t>
      </w:r>
      <w:r w:rsidR="00114909">
        <w:t>decision before the High Court</w:t>
      </w:r>
      <w:r>
        <w:t xml:space="preserve">.  </w:t>
      </w:r>
      <w:r w:rsidR="00F36267">
        <w:t>“The sell-out and use-up periods previously put in place no longer apply; it’s business as usual.</w:t>
      </w:r>
      <w:r w:rsidR="0074015C">
        <w:t xml:space="preserve">  Chiltern </w:t>
      </w:r>
      <w:r w:rsidR="00A454D7">
        <w:t xml:space="preserve">is ensuring that supplies of </w:t>
      </w:r>
      <w:r w:rsidR="0074015C">
        <w:t>metaldehyde slug pellets</w:t>
      </w:r>
      <w:r w:rsidR="00A454D7">
        <w:t xml:space="preserve"> will be available with</w:t>
      </w:r>
      <w:r w:rsidR="0074015C">
        <w:t xml:space="preserve"> immediate</w:t>
      </w:r>
      <w:r w:rsidR="00A454D7">
        <w:t xml:space="preserve"> effect from their normal distribution channels</w:t>
      </w:r>
      <w:r w:rsidR="0074015C">
        <w:t>.</w:t>
      </w:r>
      <w:r w:rsidR="00F36267">
        <w:t>”</w:t>
      </w:r>
    </w:p>
    <w:p w14:paraId="1E9DEAC4" w14:textId="7CA009B6" w:rsidR="00E26B6E" w:rsidRDefault="002B1133" w:rsidP="001A2B25">
      <w:r>
        <w:t xml:space="preserve">He explains that the legal basis of Defra’s withdrawal decision required </w:t>
      </w:r>
      <w:r w:rsidR="00F36267">
        <w:t xml:space="preserve">the former Secretary of State for the Environment, Michael </w:t>
      </w:r>
      <w:r>
        <w:t>Gove to form his own view on the impact of the</w:t>
      </w:r>
      <w:r w:rsidR="00D27943">
        <w:t xml:space="preserve"> metaldehyde</w:t>
      </w:r>
      <w:r>
        <w:t xml:space="preserve"> product</w:t>
      </w:r>
      <w:r w:rsidR="00D27943">
        <w:t>s</w:t>
      </w:r>
      <w:r>
        <w:t xml:space="preserve"> on non-target species</w:t>
      </w:r>
      <w:r w:rsidR="0074015C">
        <w:t>, but he did not do so</w:t>
      </w:r>
      <w:r>
        <w:t>. “</w:t>
      </w:r>
      <w:r w:rsidR="0074015C">
        <w:t>A few days before a hearing was</w:t>
      </w:r>
      <w:r>
        <w:t xml:space="preserve"> due to take place in the High Court, the government conceded that </w:t>
      </w:r>
      <w:r w:rsidR="00D27943">
        <w:t xml:space="preserve">its </w:t>
      </w:r>
      <w:r>
        <w:t xml:space="preserve">decision-making process was flawed. </w:t>
      </w:r>
      <w:r w:rsidR="0074015C">
        <w:t>The decision was unlawful.</w:t>
      </w:r>
      <w:r w:rsidR="00637646">
        <w:t>”</w:t>
      </w:r>
    </w:p>
    <w:p w14:paraId="2B44174E" w14:textId="77777777" w:rsidR="002C3465" w:rsidRDefault="006C4776">
      <w:r>
        <w:t>Chiltern Farm Chemicals, one of the largest suppliers of molluscicides in the UK, disputes the environmental impact of its products on non-target species. “We have been working with the industry for over 10 years, as part of the Metaldehyde Stewardship Group</w:t>
      </w:r>
      <w:r w:rsidR="00826D8B">
        <w:t xml:space="preserve"> (MSG)</w:t>
      </w:r>
      <w:r>
        <w:t>,</w:t>
      </w:r>
      <w:r w:rsidR="00826D8B">
        <w:t xml:space="preserve"> to steward the responsible use of these products.</w:t>
      </w:r>
      <w:r w:rsidR="007D11F8">
        <w:t xml:space="preserve"> </w:t>
      </w:r>
    </w:p>
    <w:p w14:paraId="6E3EC45B" w14:textId="77777777" w:rsidR="00E26B6E" w:rsidRDefault="00826D8B" w:rsidP="00826D8B">
      <w:r>
        <w:t>“In 2017 an enhanced MSG stewardship programme, that had been approved by</w:t>
      </w:r>
      <w:r w:rsidR="00E26B6E">
        <w:t xml:space="preserve"> officials at the CRD (Chemicals Regulation Division)</w:t>
      </w:r>
      <w:r>
        <w:t>,</w:t>
      </w:r>
      <w:r w:rsidR="00E26B6E">
        <w:t xml:space="preserve"> </w:t>
      </w:r>
      <w:r>
        <w:t xml:space="preserve">was launched and </w:t>
      </w:r>
      <w:r w:rsidR="00E26B6E">
        <w:t>introduc</w:t>
      </w:r>
      <w:r>
        <w:t xml:space="preserve">ed </w:t>
      </w:r>
      <w:r w:rsidR="00E26B6E">
        <w:t>new buffer zone requirements, promot</w:t>
      </w:r>
      <w:r>
        <w:t>ed</w:t>
      </w:r>
      <w:r w:rsidR="00E26B6E">
        <w:t xml:space="preserve"> reduced usage and the adoption of Integrated Pest Management.</w:t>
      </w:r>
      <w:r>
        <w:t>”</w:t>
      </w:r>
    </w:p>
    <w:p w14:paraId="78FFB9A9" w14:textId="77777777" w:rsidR="003C5B39" w:rsidRPr="007D11F8" w:rsidRDefault="00826D8B" w:rsidP="001A2B25">
      <w:r>
        <w:lastRenderedPageBreak/>
        <w:t xml:space="preserve">He adds that retaining metaldehyde in the market </w:t>
      </w:r>
      <w:r w:rsidR="00D321CF">
        <w:t xml:space="preserve">removes the industry’s dependency on a single slug control solution and provides farmers </w:t>
      </w:r>
      <w:r w:rsidR="00807026">
        <w:t xml:space="preserve">and householders alike </w:t>
      </w:r>
      <w:r w:rsidR="00D321CF">
        <w:t xml:space="preserve">with an important, reliable and </w:t>
      </w:r>
      <w:r w:rsidR="00807026">
        <w:t>trusted</w:t>
      </w:r>
      <w:r w:rsidR="00D321CF">
        <w:t xml:space="preserve"> treatment for controlling the arable </w:t>
      </w:r>
      <w:r w:rsidR="00807026">
        <w:t>and garden sector’s</w:t>
      </w:r>
      <w:r w:rsidR="00D321CF">
        <w:t xml:space="preserve"> most damaging pest.</w:t>
      </w:r>
    </w:p>
    <w:p w14:paraId="05828A19" w14:textId="77777777" w:rsidR="003C5B39" w:rsidRPr="007D11F8" w:rsidRDefault="003C5B39" w:rsidP="001A2B25">
      <w:r w:rsidRPr="007D11F8">
        <w:t xml:space="preserve">Taking the metaldehyde status back to pre </w:t>
      </w:r>
      <w:r w:rsidR="00D27943">
        <w:t xml:space="preserve">19 </w:t>
      </w:r>
      <w:r w:rsidRPr="007D11F8">
        <w:t xml:space="preserve">December 2018, the </w:t>
      </w:r>
      <w:r w:rsidR="00D27943">
        <w:t>Court's order confirms</w:t>
      </w:r>
      <w:r w:rsidRPr="007D11F8">
        <w:t xml:space="preserve"> that the applications for product re-authorisation remain outstanding, and Defra are required to </w:t>
      </w:r>
      <w:r w:rsidR="00180C7B">
        <w:t>decide</w:t>
      </w:r>
      <w:r w:rsidRPr="007D11F8">
        <w:t xml:space="preserve"> afresh </w:t>
      </w:r>
      <w:r w:rsidR="00180C7B">
        <w:t xml:space="preserve">as to </w:t>
      </w:r>
      <w:r w:rsidRPr="007D11F8">
        <w:t xml:space="preserve">whether to grant re-authorisation for the </w:t>
      </w:r>
      <w:r w:rsidR="007D11F8">
        <w:t>p</w:t>
      </w:r>
      <w:r w:rsidRPr="007D11F8">
        <w:t>roducts</w:t>
      </w:r>
      <w:r w:rsidR="007D11F8">
        <w:t xml:space="preserve"> or to </w:t>
      </w:r>
      <w:r w:rsidRPr="007D11F8">
        <w:t>revoke the existing authorisations</w:t>
      </w:r>
      <w:r w:rsidR="007D11F8">
        <w:t>,</w:t>
      </w:r>
      <w:r w:rsidRPr="007D11F8">
        <w:t xml:space="preserve"> in accordance with Article 46 of the EC Regulation.</w:t>
      </w:r>
    </w:p>
    <w:p w14:paraId="7BF8A4BD" w14:textId="77777777" w:rsidR="00A60ACC" w:rsidRDefault="00A60ACC"/>
    <w:p w14:paraId="0CD4E7B1" w14:textId="77777777" w:rsidR="00BE5931" w:rsidRDefault="00BE5931" w:rsidP="00BE5931">
      <w:pPr>
        <w:jc w:val="center"/>
      </w:pPr>
      <w:r>
        <w:t>-ends-</w:t>
      </w:r>
    </w:p>
    <w:p w14:paraId="5EC91CAF" w14:textId="77777777" w:rsidR="00BE5931" w:rsidRDefault="00856C33" w:rsidP="00BE5931">
      <w:r>
        <w:rPr>
          <w:b/>
          <w:bCs/>
        </w:rPr>
        <w:t>For more information contact</w:t>
      </w:r>
      <w:r w:rsidR="00BE5931" w:rsidRPr="00BE5931">
        <w:rPr>
          <w:b/>
          <w:bCs/>
        </w:rPr>
        <w:t>:</w:t>
      </w:r>
      <w:r w:rsidR="00BE5931">
        <w:t xml:space="preserve"> </w:t>
      </w:r>
      <w:r>
        <w:t>Catherine Linch,</w:t>
      </w:r>
      <w:r w:rsidR="00BE5931">
        <w:t xml:space="preserve"> Pinstone </w:t>
      </w:r>
      <w:r w:rsidR="00BE5931" w:rsidRPr="00BE5931">
        <w:rPr>
          <w:b/>
          <w:bCs/>
        </w:rPr>
        <w:t>E:</w:t>
      </w:r>
      <w:r w:rsidR="00BE5931">
        <w:t xml:space="preserve"> </w:t>
      </w:r>
      <w:hyperlink r:id="rId7" w:history="1">
        <w:r w:rsidRPr="00904EB5">
          <w:rPr>
            <w:rStyle w:val="Hyperlink"/>
          </w:rPr>
          <w:t>catherine@pinstone.co.uk</w:t>
        </w:r>
      </w:hyperlink>
      <w:r w:rsidR="00BE5931">
        <w:t xml:space="preserve"> </w:t>
      </w:r>
      <w:r w:rsidR="00BE5931" w:rsidRPr="00BE5931">
        <w:rPr>
          <w:b/>
          <w:bCs/>
        </w:rPr>
        <w:t>T:</w:t>
      </w:r>
      <w:r w:rsidR="00BE5931">
        <w:t xml:space="preserve"> </w:t>
      </w:r>
      <w:r>
        <w:t>07850 802799</w:t>
      </w:r>
      <w:r w:rsidR="007D11F8">
        <w:t xml:space="preserve">. Please note that, after 2 August 2019, </w:t>
      </w:r>
      <w:r w:rsidR="00180C7B">
        <w:t>Catherine will be on annual leave. E</w:t>
      </w:r>
      <w:r w:rsidR="007D11F8">
        <w:t xml:space="preserve">nquiries should be directed to </w:t>
      </w:r>
      <w:r w:rsidR="00A454D7">
        <w:t>Helen Maiden T: 01568 617623 / 07890 097906</w:t>
      </w:r>
      <w:r w:rsidR="007D11F8">
        <w:t xml:space="preserve"> </w:t>
      </w:r>
    </w:p>
    <w:p w14:paraId="645E45EE" w14:textId="77777777" w:rsidR="00BE5931" w:rsidRDefault="00AE3A27" w:rsidP="00BE5931">
      <w:pPr>
        <w:rPr>
          <w:b/>
        </w:rPr>
      </w:pPr>
      <w:r>
        <w:rPr>
          <w:b/>
        </w:rPr>
        <w:t>About Chiltern Farm Chemicals Limited</w:t>
      </w:r>
    </w:p>
    <w:p w14:paraId="0FADABEE" w14:textId="77777777" w:rsidR="00AE3A27" w:rsidRPr="00AE3A27" w:rsidRDefault="00AE3A27" w:rsidP="00BE5931">
      <w:r>
        <w:t>Chiltern Farm Chemicals Limited was established in 1980 and is a producer of metaldehyde slug pellets for both the agricultural and home garden markets in the UK.  Chiltern specialises in pellets containing low doses of metaldehyde.  Having introduced the first low dose 1.5% metaldehyde pellet to the UK market in 2002, Chiltern decided in 2011 to sell only 1.5% pellets from then on.</w:t>
      </w:r>
    </w:p>
    <w:p w14:paraId="14A99597" w14:textId="77777777" w:rsidR="00A70D0E" w:rsidRPr="007D11F8" w:rsidRDefault="007D11F8">
      <w:pPr>
        <w:rPr>
          <w:b/>
          <w:bCs/>
        </w:rPr>
      </w:pPr>
      <w:r w:rsidRPr="007D11F8">
        <w:rPr>
          <w:b/>
          <w:bCs/>
        </w:rPr>
        <w:t>Further information:</w:t>
      </w:r>
    </w:p>
    <w:p w14:paraId="48DC8A50" w14:textId="77777777" w:rsidR="007D11F8" w:rsidRDefault="007D11F8" w:rsidP="007D11F8">
      <w:r>
        <w:t>21 other EU member states continue to have access to metaldehyde products.</w:t>
      </w:r>
    </w:p>
    <w:p w14:paraId="4FB2EB57" w14:textId="77777777" w:rsidR="007D11F8" w:rsidRDefault="007D11F8" w:rsidP="007D11F8">
      <w:r w:rsidRPr="007D11F8">
        <w:t>The ban had been announced</w:t>
      </w:r>
      <w:r>
        <w:t xml:space="preserve"> by the Environment Secretary, Michael Gove, on 19 December 2018, stating that metaldehyde products will not be re-registered for use or sale.</w:t>
      </w:r>
    </w:p>
    <w:p w14:paraId="1DFB3F00" w14:textId="77777777" w:rsidR="007D11F8" w:rsidRDefault="007D11F8" w:rsidP="007D11F8">
      <w:r>
        <w:t>Formerly the withdrawal dates announced were:</w:t>
      </w:r>
    </w:p>
    <w:p w14:paraId="4AACA709" w14:textId="77777777" w:rsidR="007D11F8" w:rsidRDefault="007D11F8" w:rsidP="007D11F8">
      <w:r w:rsidRPr="00A60ACC">
        <w:rPr>
          <w:b/>
          <w:bCs/>
        </w:rPr>
        <w:t>30 June 2019</w:t>
      </w:r>
      <w:r>
        <w:t xml:space="preserve"> – Final date for sale and distribution of metaldehyde slug pellets</w:t>
      </w:r>
    </w:p>
    <w:p w14:paraId="5C90DB69" w14:textId="77777777" w:rsidR="007D11F8" w:rsidRDefault="007D11F8" w:rsidP="007D11F8">
      <w:r w:rsidRPr="00A60ACC">
        <w:rPr>
          <w:b/>
          <w:bCs/>
        </w:rPr>
        <w:t>30 June 2020</w:t>
      </w:r>
      <w:r>
        <w:t xml:space="preserve"> – Final date for the disposal, storage and use up of existing stocks of metaldehyde slug pellets</w:t>
      </w:r>
    </w:p>
    <w:p w14:paraId="3C3E2E80" w14:textId="77777777" w:rsidR="004249FD" w:rsidRDefault="007D11F8">
      <w:r>
        <w:lastRenderedPageBreak/>
        <w:t>These dates do no longer apply.</w:t>
      </w:r>
    </w:p>
    <w:sectPr w:rsidR="004249FD" w:rsidSect="000D6F7D">
      <w:headerReference w:type="default" r:id="rId8"/>
      <w:pgSz w:w="11906" w:h="16838"/>
      <w:pgMar w:top="1440" w:right="1440" w:bottom="1440" w:left="1440" w:header="708" w:footer="708" w:gutter="0"/>
      <w:paperSrc w:first="258"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AB658" w14:textId="77777777" w:rsidR="00FB7399" w:rsidRDefault="00FB7399" w:rsidP="00E76E33">
      <w:pPr>
        <w:spacing w:before="0" w:after="0" w:line="240" w:lineRule="auto"/>
      </w:pPr>
      <w:r>
        <w:separator/>
      </w:r>
    </w:p>
  </w:endnote>
  <w:endnote w:type="continuationSeparator" w:id="0">
    <w:p w14:paraId="0EE0B1FC" w14:textId="77777777" w:rsidR="00FB7399" w:rsidRDefault="00FB7399" w:rsidP="00E76E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5556E" w14:textId="77777777" w:rsidR="00FB7399" w:rsidRDefault="00FB7399" w:rsidP="00E76E33">
      <w:pPr>
        <w:spacing w:before="0" w:after="0" w:line="240" w:lineRule="auto"/>
      </w:pPr>
      <w:r>
        <w:separator/>
      </w:r>
    </w:p>
  </w:footnote>
  <w:footnote w:type="continuationSeparator" w:id="0">
    <w:p w14:paraId="69F1507E" w14:textId="77777777" w:rsidR="00FB7399" w:rsidRDefault="00FB7399" w:rsidP="00E76E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22D6" w14:textId="77777777" w:rsidR="00E76E33" w:rsidRDefault="00E76E33">
    <w:pPr>
      <w:pStyle w:val="Header"/>
    </w:pPr>
    <w:r>
      <w:rPr>
        <w:noProof/>
        <w:lang w:eastAsia="en-GB"/>
      </w:rPr>
      <w:drawing>
        <wp:anchor distT="0" distB="0" distL="114300" distR="114300" simplePos="0" relativeHeight="251658240" behindDoc="0" locked="0" layoutInCell="1" allowOverlap="1" wp14:anchorId="0C54B34C" wp14:editId="286F20C9">
          <wp:simplePos x="0" y="0"/>
          <wp:positionH relativeFrom="column">
            <wp:posOffset>4267200</wp:posOffset>
          </wp:positionH>
          <wp:positionV relativeFrom="paragraph">
            <wp:posOffset>-60960</wp:posOffset>
          </wp:positionV>
          <wp:extent cx="1897380" cy="48006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t="36800" r="400" b="38000"/>
                  <a:stretch/>
                </pic:blipFill>
                <pic:spPr bwMode="auto">
                  <a:xfrm>
                    <a:off x="0" y="0"/>
                    <a:ext cx="1897380" cy="4800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46CE9"/>
    <w:multiLevelType w:val="multilevel"/>
    <w:tmpl w:val="F15008BA"/>
    <w:lvl w:ilvl="0">
      <w:start w:val="1"/>
      <w:numFmt w:val="decimal"/>
      <w:lvlText w:val="%1."/>
      <w:lvlJc w:val="left"/>
      <w:pPr>
        <w:tabs>
          <w:tab w:val="num" w:pos="0"/>
        </w:tabs>
        <w:ind w:left="720" w:hanging="720"/>
      </w:pPr>
      <w:rPr>
        <w:rFonts w:cs="Times New Roman" w:hint="default"/>
      </w:rPr>
    </w:lvl>
    <w:lvl w:ilvl="1">
      <w:start w:val="1"/>
      <w:numFmt w:val="decimal"/>
      <w:lvlText w:val="(%2)"/>
      <w:lvlJc w:val="left"/>
      <w:pPr>
        <w:tabs>
          <w:tab w:val="num" w:pos="0"/>
        </w:tabs>
        <w:ind w:left="1440" w:hanging="720"/>
      </w:pPr>
      <w:rPr>
        <w:rFonts w:cs="Times New Roman" w:hint="default"/>
        <w:i w:val="0"/>
      </w:rPr>
    </w:lvl>
    <w:lvl w:ilvl="2">
      <w:start w:val="1"/>
      <w:numFmt w:val="lowerLetter"/>
      <w:lvlText w:val="(%3)"/>
      <w:lvlJc w:val="left"/>
      <w:pPr>
        <w:tabs>
          <w:tab w:val="num" w:pos="0"/>
        </w:tabs>
        <w:ind w:left="2160" w:hanging="720"/>
      </w:pPr>
      <w:rPr>
        <w:rFonts w:cs="Times New Roman" w:hint="default"/>
        <w:i w:val="0"/>
      </w:rPr>
    </w:lvl>
    <w:lvl w:ilvl="3">
      <w:start w:val="1"/>
      <w:numFmt w:val="lowerRoman"/>
      <w:lvlText w:val="(%4)"/>
      <w:lvlJc w:val="left"/>
      <w:pPr>
        <w:tabs>
          <w:tab w:val="num" w:pos="0"/>
        </w:tabs>
        <w:ind w:left="2880" w:hanging="72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33"/>
    <w:rsid w:val="000C03A4"/>
    <w:rsid w:val="000D6F7D"/>
    <w:rsid w:val="000D79EE"/>
    <w:rsid w:val="000F67FE"/>
    <w:rsid w:val="00111C5B"/>
    <w:rsid w:val="00114909"/>
    <w:rsid w:val="00180C7B"/>
    <w:rsid w:val="001A2B25"/>
    <w:rsid w:val="001D31AC"/>
    <w:rsid w:val="001D7A63"/>
    <w:rsid w:val="001E192B"/>
    <w:rsid w:val="00221AF1"/>
    <w:rsid w:val="00244E00"/>
    <w:rsid w:val="002740BB"/>
    <w:rsid w:val="00283266"/>
    <w:rsid w:val="002A6F07"/>
    <w:rsid w:val="002B1133"/>
    <w:rsid w:val="002C3465"/>
    <w:rsid w:val="002C66D7"/>
    <w:rsid w:val="002E00DE"/>
    <w:rsid w:val="002F333A"/>
    <w:rsid w:val="0033259F"/>
    <w:rsid w:val="00380231"/>
    <w:rsid w:val="003B7BD1"/>
    <w:rsid w:val="003C5B39"/>
    <w:rsid w:val="003C742E"/>
    <w:rsid w:val="003E4652"/>
    <w:rsid w:val="004249FD"/>
    <w:rsid w:val="0044660A"/>
    <w:rsid w:val="004A5D10"/>
    <w:rsid w:val="005311A4"/>
    <w:rsid w:val="0054188C"/>
    <w:rsid w:val="00574D1A"/>
    <w:rsid w:val="00637646"/>
    <w:rsid w:val="00681F8D"/>
    <w:rsid w:val="006C4776"/>
    <w:rsid w:val="006C7F1A"/>
    <w:rsid w:val="006D6EFA"/>
    <w:rsid w:val="0074015C"/>
    <w:rsid w:val="00745DEC"/>
    <w:rsid w:val="00746A95"/>
    <w:rsid w:val="00795FD9"/>
    <w:rsid w:val="007D11F8"/>
    <w:rsid w:val="007D48B1"/>
    <w:rsid w:val="007F1509"/>
    <w:rsid w:val="007F19BE"/>
    <w:rsid w:val="007F3322"/>
    <w:rsid w:val="007F5D3A"/>
    <w:rsid w:val="00800414"/>
    <w:rsid w:val="00807026"/>
    <w:rsid w:val="00821179"/>
    <w:rsid w:val="00826D8B"/>
    <w:rsid w:val="00856C33"/>
    <w:rsid w:val="00867FBC"/>
    <w:rsid w:val="008E4360"/>
    <w:rsid w:val="008F2A5D"/>
    <w:rsid w:val="00981EF1"/>
    <w:rsid w:val="00993183"/>
    <w:rsid w:val="00A34258"/>
    <w:rsid w:val="00A454D7"/>
    <w:rsid w:val="00A55EA3"/>
    <w:rsid w:val="00A60ACC"/>
    <w:rsid w:val="00A629C6"/>
    <w:rsid w:val="00A70D0E"/>
    <w:rsid w:val="00A81913"/>
    <w:rsid w:val="00A92A7F"/>
    <w:rsid w:val="00AD1FE8"/>
    <w:rsid w:val="00AE3A27"/>
    <w:rsid w:val="00B74F88"/>
    <w:rsid w:val="00BC19B7"/>
    <w:rsid w:val="00BE5931"/>
    <w:rsid w:val="00C25D1D"/>
    <w:rsid w:val="00C73746"/>
    <w:rsid w:val="00CA4849"/>
    <w:rsid w:val="00CF1E8B"/>
    <w:rsid w:val="00CF3315"/>
    <w:rsid w:val="00D06C5A"/>
    <w:rsid w:val="00D27943"/>
    <w:rsid w:val="00D321CF"/>
    <w:rsid w:val="00DE3725"/>
    <w:rsid w:val="00DE5500"/>
    <w:rsid w:val="00E26B6E"/>
    <w:rsid w:val="00E30A73"/>
    <w:rsid w:val="00E55717"/>
    <w:rsid w:val="00E76E33"/>
    <w:rsid w:val="00EB6443"/>
    <w:rsid w:val="00F06468"/>
    <w:rsid w:val="00F36267"/>
    <w:rsid w:val="00F60466"/>
    <w:rsid w:val="00F92868"/>
    <w:rsid w:val="00FA63C2"/>
    <w:rsid w:val="00FB3DA8"/>
    <w:rsid w:val="00FB7399"/>
    <w:rsid w:val="00FC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4E37"/>
  <w15:chartTrackingRefBased/>
  <w15:docId w15:val="{69DCA8EA-6F2C-4FB5-A8DD-32661DB0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6E33"/>
  </w:style>
  <w:style w:type="paragraph" w:styleId="Footer">
    <w:name w:val="footer"/>
    <w:basedOn w:val="Normal"/>
    <w:link w:val="FooterChar"/>
    <w:uiPriority w:val="99"/>
    <w:unhideWhenUsed/>
    <w:rsid w:val="00E76E3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6E33"/>
  </w:style>
  <w:style w:type="character" w:styleId="Hyperlink">
    <w:name w:val="Hyperlink"/>
    <w:basedOn w:val="DefaultParagraphFont"/>
    <w:uiPriority w:val="99"/>
    <w:unhideWhenUsed/>
    <w:rsid w:val="00BE5931"/>
    <w:rPr>
      <w:color w:val="0563C1" w:themeColor="hyperlink"/>
      <w:u w:val="single"/>
    </w:rPr>
  </w:style>
  <w:style w:type="character" w:customStyle="1" w:styleId="UnresolvedMention1">
    <w:name w:val="Unresolved Mention1"/>
    <w:basedOn w:val="DefaultParagraphFont"/>
    <w:uiPriority w:val="99"/>
    <w:semiHidden/>
    <w:unhideWhenUsed/>
    <w:rsid w:val="00BE5931"/>
    <w:rPr>
      <w:color w:val="605E5C"/>
      <w:shd w:val="clear" w:color="auto" w:fill="E1DFDD"/>
    </w:rPr>
  </w:style>
  <w:style w:type="character" w:styleId="CommentReference">
    <w:name w:val="annotation reference"/>
    <w:basedOn w:val="DefaultParagraphFont"/>
    <w:uiPriority w:val="99"/>
    <w:semiHidden/>
    <w:unhideWhenUsed/>
    <w:rsid w:val="006C7F1A"/>
    <w:rPr>
      <w:sz w:val="16"/>
      <w:szCs w:val="16"/>
    </w:rPr>
  </w:style>
  <w:style w:type="paragraph" w:styleId="CommentText">
    <w:name w:val="annotation text"/>
    <w:basedOn w:val="Normal"/>
    <w:link w:val="CommentTextChar"/>
    <w:uiPriority w:val="99"/>
    <w:semiHidden/>
    <w:unhideWhenUsed/>
    <w:rsid w:val="006C7F1A"/>
    <w:pPr>
      <w:spacing w:line="240" w:lineRule="auto"/>
    </w:pPr>
    <w:rPr>
      <w:sz w:val="20"/>
      <w:szCs w:val="20"/>
    </w:rPr>
  </w:style>
  <w:style w:type="character" w:customStyle="1" w:styleId="CommentTextChar">
    <w:name w:val="Comment Text Char"/>
    <w:basedOn w:val="DefaultParagraphFont"/>
    <w:link w:val="CommentText"/>
    <w:uiPriority w:val="99"/>
    <w:semiHidden/>
    <w:rsid w:val="006C7F1A"/>
    <w:rPr>
      <w:sz w:val="20"/>
      <w:szCs w:val="20"/>
    </w:rPr>
  </w:style>
  <w:style w:type="paragraph" w:styleId="CommentSubject">
    <w:name w:val="annotation subject"/>
    <w:basedOn w:val="CommentText"/>
    <w:next w:val="CommentText"/>
    <w:link w:val="CommentSubjectChar"/>
    <w:uiPriority w:val="99"/>
    <w:semiHidden/>
    <w:unhideWhenUsed/>
    <w:rsid w:val="006C7F1A"/>
    <w:rPr>
      <w:b/>
      <w:bCs/>
    </w:rPr>
  </w:style>
  <w:style w:type="character" w:customStyle="1" w:styleId="CommentSubjectChar">
    <w:name w:val="Comment Subject Char"/>
    <w:basedOn w:val="CommentTextChar"/>
    <w:link w:val="CommentSubject"/>
    <w:uiPriority w:val="99"/>
    <w:semiHidden/>
    <w:rsid w:val="006C7F1A"/>
    <w:rPr>
      <w:b/>
      <w:bCs/>
      <w:sz w:val="20"/>
      <w:szCs w:val="20"/>
    </w:rPr>
  </w:style>
  <w:style w:type="paragraph" w:styleId="BalloonText">
    <w:name w:val="Balloon Text"/>
    <w:basedOn w:val="Normal"/>
    <w:link w:val="BalloonTextChar"/>
    <w:uiPriority w:val="99"/>
    <w:semiHidden/>
    <w:unhideWhenUsed/>
    <w:rsid w:val="006C7F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F1A"/>
    <w:rPr>
      <w:rFonts w:ascii="Segoe UI" w:hAnsi="Segoe UI" w:cs="Segoe UI"/>
      <w:sz w:val="18"/>
      <w:szCs w:val="18"/>
    </w:rPr>
  </w:style>
  <w:style w:type="character" w:customStyle="1" w:styleId="UnresolvedMention2">
    <w:name w:val="Unresolved Mention2"/>
    <w:basedOn w:val="DefaultParagraphFont"/>
    <w:uiPriority w:val="99"/>
    <w:semiHidden/>
    <w:unhideWhenUsed/>
    <w:rsid w:val="00856C33"/>
    <w:rPr>
      <w:color w:val="605E5C"/>
      <w:shd w:val="clear" w:color="auto" w:fill="E1DFDD"/>
    </w:rPr>
  </w:style>
  <w:style w:type="paragraph" w:styleId="ListParagraph">
    <w:name w:val="List Paragraph"/>
    <w:basedOn w:val="Normal"/>
    <w:uiPriority w:val="34"/>
    <w:qFormat/>
    <w:rsid w:val="001A2B25"/>
    <w:pPr>
      <w:spacing w:before="0" w:beforeAutospacing="0" w:after="0" w:afterAutospacing="0" w:line="240" w:lineRule="auto"/>
      <w:ind w:left="720"/>
      <w:contextualSpacing/>
    </w:pPr>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herine@pinsto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Boodle Hatfield LLP</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Linch</dc:creator>
  <cp:keywords/>
  <dc:description/>
  <cp:lastModifiedBy>Graham Bryant</cp:lastModifiedBy>
  <cp:revision>2</cp:revision>
  <dcterms:created xsi:type="dcterms:W3CDTF">2019-08-02T16:13:00Z</dcterms:created>
  <dcterms:modified xsi:type="dcterms:W3CDTF">2019-08-02T16:13:00Z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tamp">
    <vt:lpwstr>16952710v1 / 13131.79</vt:lpwstr>
  </property>
</Properties>
</file>